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B4FD">
      <w:pPr>
        <w:pStyle w:val="10"/>
        <w:rPr>
          <w:rFonts w:ascii="Times New Roman" w:hAnsi="Times New Roman"/>
          <w:lang w:eastAsia="zh-CN"/>
        </w:rPr>
      </w:pPr>
      <w:bookmarkStart w:id="0" w:name="_Toc469992087"/>
      <w:bookmarkStart w:id="1" w:name="_Toc477247000"/>
      <w:bookmarkStart w:id="2" w:name="_Toc7697"/>
      <w:r>
        <w:rPr>
          <w:rFonts w:hint="eastAsia" w:ascii="Times New Roman" w:hAnsi="Times New Roman"/>
          <w:lang w:eastAsia="zh-CN"/>
        </w:rPr>
        <w:t>ICS 65.020.30</w:t>
      </w:r>
    </w:p>
    <w:p w14:paraId="1CC60327">
      <w:pPr>
        <w:pStyle w:val="10"/>
        <w:rPr>
          <w:rFonts w:ascii="Times New Roman" w:hAnsi="Times New Roman"/>
          <w:sz w:val="20"/>
          <w:lang w:eastAsia="zh-CN"/>
        </w:rPr>
      </w:pPr>
      <w:r>
        <w:rPr>
          <w:rFonts w:hint="eastAsia" w:ascii="Times New Roman" w:hAnsi="Times New Roman"/>
          <w:lang w:eastAsia="zh-CN"/>
        </w:rPr>
        <w:t>CSS B44</w:t>
      </w:r>
      <w:r>
        <w:rPr>
          <w:rFonts w:ascii="Times New Roman" w:hAnsi="Times New Roman"/>
          <w:lang w:eastAsia="zh-CN"/>
        </w:rPr>
        <w:drawing>
          <wp:anchor distT="0" distB="0" distL="0" distR="0" simplePos="0" relativeHeight="251659264" behindDoc="0" locked="0" layoutInCell="1" allowOverlap="1">
            <wp:simplePos x="0" y="0"/>
            <wp:positionH relativeFrom="page">
              <wp:posOffset>5337810</wp:posOffset>
            </wp:positionH>
            <wp:positionV relativeFrom="paragraph">
              <wp:posOffset>-250825</wp:posOffset>
            </wp:positionV>
            <wp:extent cx="945515" cy="871855"/>
            <wp:effectExtent l="0" t="0" r="14605" b="12065"/>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23" cstate="print"/>
                    <a:stretch>
                      <a:fillRect/>
                    </a:stretch>
                  </pic:blipFill>
                  <pic:spPr>
                    <a:xfrm>
                      <a:off x="0" y="0"/>
                      <a:ext cx="945515" cy="871855"/>
                    </a:xfrm>
                    <a:prstGeom prst="rect">
                      <a:avLst/>
                    </a:prstGeom>
                  </pic:spPr>
                </pic:pic>
              </a:graphicData>
            </a:graphic>
          </wp:anchor>
        </w:drawing>
      </w:r>
    </w:p>
    <w:p w14:paraId="5433B8F7">
      <w:pPr>
        <w:pStyle w:val="10"/>
        <w:rPr>
          <w:rFonts w:ascii="Times New Roman" w:hAnsi="Times New Roman"/>
          <w:sz w:val="20"/>
          <w:lang w:eastAsia="zh-CN"/>
        </w:rPr>
      </w:pPr>
    </w:p>
    <w:p w14:paraId="26E76563">
      <w:pPr>
        <w:pStyle w:val="10"/>
        <w:rPr>
          <w:rFonts w:ascii="Times New Roman" w:hAnsi="Times New Roman"/>
          <w:sz w:val="20"/>
          <w:lang w:eastAsia="zh-CN"/>
        </w:rPr>
      </w:pPr>
    </w:p>
    <w:p w14:paraId="1AA0F077">
      <w:pPr>
        <w:pStyle w:val="10"/>
        <w:spacing w:before="2"/>
        <w:rPr>
          <w:rFonts w:ascii="Times New Roman" w:hAnsi="Times New Roman"/>
          <w:sz w:val="19"/>
          <w:lang w:eastAsia="zh-CN"/>
        </w:rPr>
      </w:pPr>
    </w:p>
    <w:p w14:paraId="1F28CEF8">
      <w:pPr>
        <w:spacing w:before="38"/>
        <w:ind w:left="457"/>
        <w:rPr>
          <w:b/>
          <w:sz w:val="44"/>
        </w:rPr>
      </w:pPr>
      <w:r>
        <w:rPr>
          <w:b/>
          <w:spacing w:val="13"/>
          <w:w w:val="150"/>
          <w:sz w:val="44"/>
        </w:rPr>
        <w:t>中国实验动物学会团体标准</w:t>
      </w:r>
    </w:p>
    <w:p w14:paraId="1B06A13A">
      <w:pPr>
        <w:spacing w:before="360"/>
        <w:ind w:right="546"/>
        <w:jc w:val="right"/>
        <w:rPr>
          <w:sz w:val="24"/>
        </w:rPr>
      </w:pPr>
      <w:r>
        <w:rPr>
          <w:sz w:val="24"/>
        </w:rPr>
        <w:t>T/CALAS</w:t>
      </w:r>
      <w:r>
        <w:rPr>
          <w:spacing w:val="-3"/>
          <w:sz w:val="24"/>
        </w:rPr>
        <w:t xml:space="preserve"> </w:t>
      </w:r>
      <w:r>
        <w:rPr>
          <w:rFonts w:hint="eastAsia"/>
          <w:sz w:val="24"/>
        </w:rPr>
        <w:t>×××</w:t>
      </w:r>
      <w:r>
        <w:rPr>
          <w:sz w:val="24"/>
        </w:rPr>
        <w:t>-2024</w:t>
      </w:r>
    </w:p>
    <w:p w14:paraId="24E0527E">
      <w:pPr>
        <w:pStyle w:val="10"/>
        <w:spacing w:before="1"/>
        <w:rPr>
          <w:rFonts w:ascii="Times New Roman" w:hAnsi="Times New Roman"/>
          <w:sz w:val="23"/>
          <w:lang w:eastAsia="zh-CN"/>
        </w:rPr>
      </w:pPr>
      <w:r>
        <w:rPr>
          <w:rFonts w:hint="eastAsia" w:ascii="Times New Roman" w:hAnsi="Times New Roman"/>
          <w:lang w:eastAsia="zh-CN"/>
        </w:rPr>
        <mc:AlternateContent>
          <mc:Choice Requires="wps">
            <w:drawing>
              <wp:anchor distT="0" distB="0" distL="0" distR="0" simplePos="0" relativeHeight="251660288" behindDoc="1" locked="0" layoutInCell="1" allowOverlap="1">
                <wp:simplePos x="0" y="0"/>
                <wp:positionH relativeFrom="page">
                  <wp:posOffset>1141095</wp:posOffset>
                </wp:positionH>
                <wp:positionV relativeFrom="paragraph">
                  <wp:posOffset>184150</wp:posOffset>
                </wp:positionV>
                <wp:extent cx="5181600" cy="1270"/>
                <wp:effectExtent l="0" t="0" r="0" b="0"/>
                <wp:wrapTopAndBottom/>
                <wp:docPr id="1584543220" name="docshape2"/>
                <wp:cNvGraphicFramePr/>
                <a:graphic xmlns:a="http://schemas.openxmlformats.org/drawingml/2006/main">
                  <a:graphicData uri="http://schemas.microsoft.com/office/word/2010/wordprocessingShape">
                    <wps:wsp>
                      <wps:cNvSpPr/>
                      <wps:spPr bwMode="auto">
                        <a:xfrm>
                          <a:off x="0" y="0"/>
                          <a:ext cx="5181600" cy="1270"/>
                        </a:xfrm>
                        <a:custGeom>
                          <a:avLst/>
                          <a:gdLst>
                            <a:gd name="T0" fmla="+- 0 1797 1797"/>
                            <a:gd name="T1" fmla="*/ T0 w 8160"/>
                            <a:gd name="T2" fmla="+- 0 9957 1797"/>
                            <a:gd name="T3" fmla="*/ T2 w 8160"/>
                          </a:gdLst>
                          <a:ahLst/>
                          <a:cxnLst>
                            <a:cxn ang="0">
                              <a:pos x="T1" y="0"/>
                            </a:cxn>
                            <a:cxn ang="0">
                              <a:pos x="T3" y="0"/>
                            </a:cxn>
                          </a:cxnLst>
                          <a:rect l="0" t="0" r="r" b="b"/>
                          <a:pathLst>
                            <a:path w="8160">
                              <a:moveTo>
                                <a:pt x="0" y="0"/>
                              </a:moveTo>
                              <a:lnTo>
                                <a:pt x="8160" y="0"/>
                              </a:lnTo>
                            </a:path>
                          </a:pathLst>
                        </a:custGeom>
                        <a:noFill/>
                        <a:ln w="7620">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id="docshape2" o:spid="_x0000_s1026" o:spt="100" style="position:absolute;left:0pt;margin-left:89.85pt;margin-top:14.5pt;height:0.1pt;width:408pt;mso-position-horizontal-relative:page;mso-wrap-distance-bottom:0pt;mso-wrap-distance-top:0pt;z-index:-251656192;mso-width-relative:page;mso-height-relative:page;" filled="f" stroked="t" coordsize="8160,1" o:gfxdata="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C74Ati1gAAAAkBAAAPAAAAAAAAAAEAIAAAACIAAABkcnMvZG93bnJl&#10;di54bWxQSwECFAAUAAAACACHTuJAYQD9gKoCAADhBQAADgAAAAAAAAABACAAAAAlAQAAZHJzL2Uy&#10;b0RvYy54bWxQSwUGAAAAAAYABgBZAQAAQQYAAAAA&#10;" path="m0,0l8160,0e">
                <v:path o:connectlocs="0,0;5181600,0" o:connectangles="0,0"/>
                <v:fill on="f" focussize="0,0"/>
                <v:stroke weight="0.6pt" color="#000000" joinstyle="round"/>
                <v:imagedata o:title=""/>
                <o:lock v:ext="edit" aspectratio="f"/>
                <w10:wrap type="topAndBottom"/>
              </v:shape>
            </w:pict>
          </mc:Fallback>
        </mc:AlternateContent>
      </w:r>
    </w:p>
    <w:p w14:paraId="03998FFE">
      <w:pPr>
        <w:pStyle w:val="10"/>
        <w:rPr>
          <w:rFonts w:ascii="Times New Roman" w:hAnsi="Times New Roman"/>
          <w:sz w:val="20"/>
          <w:lang w:eastAsia="zh-CN"/>
        </w:rPr>
      </w:pPr>
    </w:p>
    <w:p w14:paraId="5250F624">
      <w:pPr>
        <w:pStyle w:val="10"/>
        <w:rPr>
          <w:rFonts w:ascii="Times New Roman" w:hAnsi="Times New Roman"/>
          <w:sz w:val="20"/>
          <w:lang w:eastAsia="zh-CN"/>
        </w:rPr>
      </w:pPr>
    </w:p>
    <w:p w14:paraId="4C15917E">
      <w:pPr>
        <w:pStyle w:val="10"/>
        <w:rPr>
          <w:rFonts w:ascii="Times New Roman" w:hAnsi="Times New Roman"/>
          <w:sz w:val="20"/>
          <w:lang w:eastAsia="zh-CN"/>
        </w:rPr>
      </w:pPr>
    </w:p>
    <w:p w14:paraId="55DFB3B5">
      <w:pPr>
        <w:pStyle w:val="10"/>
        <w:rPr>
          <w:rFonts w:ascii="Times New Roman" w:hAnsi="Times New Roman"/>
          <w:sz w:val="20"/>
          <w:lang w:eastAsia="zh-CN"/>
        </w:rPr>
      </w:pPr>
    </w:p>
    <w:p w14:paraId="3066F409">
      <w:pPr>
        <w:pStyle w:val="10"/>
        <w:rPr>
          <w:rFonts w:ascii="Times New Roman" w:hAnsi="Times New Roman"/>
          <w:sz w:val="20"/>
          <w:lang w:eastAsia="zh-CN"/>
        </w:rPr>
      </w:pPr>
    </w:p>
    <w:p w14:paraId="1008CB70">
      <w:pPr>
        <w:pStyle w:val="10"/>
        <w:spacing w:before="10"/>
        <w:rPr>
          <w:rFonts w:ascii="Times New Roman" w:hAnsi="Times New Roman"/>
          <w:sz w:val="29"/>
          <w:lang w:eastAsia="zh-CN"/>
        </w:rPr>
      </w:pPr>
    </w:p>
    <w:p w14:paraId="4DE7A353">
      <w:pPr>
        <w:spacing w:before="259" w:line="271" w:lineRule="auto"/>
        <w:ind w:left="320" w:right="651"/>
        <w:jc w:val="center"/>
        <w:rPr>
          <w:rFonts w:eastAsia="黑体" w:cs="黑体"/>
          <w:b/>
          <w:bCs/>
          <w:spacing w:val="-4"/>
          <w:sz w:val="44"/>
          <w:szCs w:val="44"/>
        </w:rPr>
      </w:pPr>
      <w:bookmarkStart w:id="3" w:name="Laboratory_animal-General_technical_spec"/>
      <w:bookmarkEnd w:id="3"/>
      <w:bookmarkStart w:id="88" w:name="_GoBack"/>
      <w:r>
        <w:rPr>
          <w:rFonts w:hint="eastAsia" w:eastAsia="黑体" w:cs="黑体"/>
          <w:b/>
          <w:bCs/>
          <w:spacing w:val="-4"/>
          <w:sz w:val="44"/>
          <w:szCs w:val="44"/>
        </w:rPr>
        <w:t>实验动物 感染性肺损伤动物模型评价规范</w:t>
      </w:r>
    </w:p>
    <w:bookmarkEnd w:id="88"/>
    <w:p w14:paraId="56FC1BE8">
      <w:pPr>
        <w:pStyle w:val="10"/>
        <w:jc w:val="center"/>
        <w:rPr>
          <w:rFonts w:ascii="Times New Roman" w:hAnsi="Times New Roman"/>
          <w:sz w:val="26"/>
        </w:rPr>
      </w:pPr>
      <w:r>
        <w:rPr>
          <w:rFonts w:hint="eastAsia" w:ascii="Times New Roman" w:hAnsi="Times New Roman"/>
          <w:sz w:val="24"/>
        </w:rPr>
        <w:t>Laboratory animal-Standards for Evaluating Lung Damage Caused by Respiratory Viruses Infection</w:t>
      </w:r>
    </w:p>
    <w:p w14:paraId="6606D69A">
      <w:pPr>
        <w:pStyle w:val="10"/>
        <w:rPr>
          <w:rFonts w:ascii="Times New Roman" w:hAnsi="Times New Roman"/>
          <w:sz w:val="26"/>
        </w:rPr>
      </w:pPr>
    </w:p>
    <w:p w14:paraId="4DC018F1">
      <w:pPr>
        <w:pStyle w:val="10"/>
        <w:rPr>
          <w:rFonts w:ascii="Times New Roman" w:hAnsi="Times New Roman"/>
          <w:sz w:val="26"/>
        </w:rPr>
      </w:pPr>
    </w:p>
    <w:p w14:paraId="213C12CA">
      <w:pPr>
        <w:pStyle w:val="10"/>
        <w:rPr>
          <w:rFonts w:ascii="Times New Roman" w:hAnsi="Times New Roman"/>
          <w:sz w:val="26"/>
        </w:rPr>
      </w:pPr>
    </w:p>
    <w:p w14:paraId="2728FB8C">
      <w:pPr>
        <w:pStyle w:val="10"/>
        <w:rPr>
          <w:rFonts w:ascii="Times New Roman" w:hAnsi="Times New Roman"/>
          <w:sz w:val="26"/>
        </w:rPr>
      </w:pPr>
    </w:p>
    <w:p w14:paraId="4382330F">
      <w:pPr>
        <w:pStyle w:val="10"/>
        <w:rPr>
          <w:rFonts w:ascii="Times New Roman" w:hAnsi="Times New Roman"/>
          <w:sz w:val="26"/>
        </w:rPr>
      </w:pPr>
    </w:p>
    <w:p w14:paraId="1CD6EA01">
      <w:pPr>
        <w:pStyle w:val="10"/>
        <w:spacing w:before="3"/>
        <w:rPr>
          <w:rFonts w:ascii="Times New Roman" w:hAnsi="Times New Roman"/>
          <w:sz w:val="31"/>
        </w:rPr>
      </w:pPr>
    </w:p>
    <w:p w14:paraId="6EF35FDD">
      <w:pPr>
        <w:tabs>
          <w:tab w:val="left" w:pos="1662"/>
          <w:tab w:val="left" w:pos="6143"/>
          <w:tab w:val="left" w:pos="7028"/>
        </w:tabs>
        <w:ind w:left="217"/>
        <w:rPr>
          <w:rFonts w:eastAsia="黑体"/>
          <w:sz w:val="28"/>
        </w:rPr>
      </w:pPr>
      <w:r>
        <w:rPr>
          <w:rFonts w:eastAsia="Times New Roman"/>
          <w:sz w:val="28"/>
        </w:rPr>
        <w:t>2024-</w:t>
      </w:r>
      <w:r>
        <w:rPr>
          <w:rFonts w:hint="eastAsia"/>
          <w:sz w:val="24"/>
        </w:rPr>
        <w:t>××-××</w:t>
      </w:r>
      <w:r>
        <w:rPr>
          <w:rFonts w:hint="eastAsia" w:eastAsia="黑体"/>
          <w:sz w:val="28"/>
        </w:rPr>
        <w:t>发布</w:t>
      </w:r>
      <w:r>
        <w:rPr>
          <w:rFonts w:hint="eastAsia" w:eastAsia="黑体"/>
          <w:sz w:val="28"/>
        </w:rPr>
        <w:tab/>
      </w:r>
      <w:r>
        <w:rPr>
          <w:rFonts w:eastAsia="Times New Roman"/>
          <w:sz w:val="28"/>
        </w:rPr>
        <w:t>2024-</w:t>
      </w:r>
      <w:r>
        <w:rPr>
          <w:rFonts w:hint="eastAsia"/>
          <w:sz w:val="24"/>
        </w:rPr>
        <w:t>××-××</w:t>
      </w:r>
      <w:r>
        <w:rPr>
          <w:rFonts w:eastAsia="Times New Roman"/>
          <w:sz w:val="28"/>
        </w:rPr>
        <w:tab/>
      </w:r>
      <w:r>
        <w:rPr>
          <w:rFonts w:hint="eastAsia" w:eastAsia="黑体"/>
          <w:sz w:val="28"/>
        </w:rPr>
        <w:t>实施</w:t>
      </w:r>
    </w:p>
    <w:p w14:paraId="44E8450F">
      <w:pPr>
        <w:pStyle w:val="10"/>
        <w:spacing w:before="9"/>
        <w:rPr>
          <w:rFonts w:ascii="Times New Roman" w:hAnsi="Times New Roman"/>
          <w:sz w:val="17"/>
          <w:lang w:eastAsia="zh-CN"/>
        </w:rPr>
      </w:pPr>
      <w:r>
        <w:rPr>
          <w:rFonts w:hint="eastAsia" w:ascii="Times New Roman" w:hAnsi="Times New Roman"/>
          <w:lang w:eastAsia="zh-CN"/>
        </w:rPr>
        <mc:AlternateContent>
          <mc:Choice Requires="wps">
            <w:drawing>
              <wp:anchor distT="0" distB="0" distL="0" distR="0" simplePos="0" relativeHeight="251660288" behindDoc="1" locked="0" layoutInCell="1" allowOverlap="1">
                <wp:simplePos x="0" y="0"/>
                <wp:positionH relativeFrom="page">
                  <wp:posOffset>1141095</wp:posOffset>
                </wp:positionH>
                <wp:positionV relativeFrom="paragraph">
                  <wp:posOffset>160020</wp:posOffset>
                </wp:positionV>
                <wp:extent cx="5182235" cy="18415"/>
                <wp:effectExtent l="0" t="0" r="14605" b="4445"/>
                <wp:wrapTopAndBottom/>
                <wp:docPr id="1825897587" name="docshape3"/>
                <wp:cNvGraphicFramePr/>
                <a:graphic xmlns:a="http://schemas.openxmlformats.org/drawingml/2006/main">
                  <a:graphicData uri="http://schemas.microsoft.com/office/word/2010/wordprocessingShape">
                    <wps:wsp>
                      <wps:cNvSpPr>
                        <a:spLocks noChangeArrowheads="1"/>
                      </wps:cNvSpPr>
                      <wps:spPr bwMode="auto">
                        <a:xfrm>
                          <a:off x="0" y="0"/>
                          <a:ext cx="5182235" cy="18415"/>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docshape3" o:spid="_x0000_s1026" o:spt="1" style="position:absolute;left:0pt;margin-left:89.85pt;margin-top:12.6pt;height:1.45pt;width:408.05pt;mso-position-horizontal-relative:page;mso-wrap-distance-bottom:0pt;mso-wrap-distance-top:0pt;z-index:-251656192;mso-width-relative:page;mso-height-relative:page;" fillcolor="#000000" filled="t" stroked="f" coordsize="21600,21600" o:gfxdata="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p9jzc2AAAAAkBAAAPAAAA&#10;AAAAAAEAIAAAACIAAABkcnMvZG93bnJldi54bWxQSwECFAAUAAAACACHTuJA3J1osBUCAAAvBAAA&#10;DgAAAAAAAAABACAAAAAnAQAAZHJzL2Uyb0RvYy54bWxQSwUGAAAAAAYABgBZAQAArgUAAAAA&#10;">
                <v:fill on="t" focussize="0,0"/>
                <v:stroke on="f"/>
                <v:imagedata o:title=""/>
                <o:lock v:ext="edit" aspectratio="f"/>
                <w10:wrap type="topAndBottom"/>
              </v:rect>
            </w:pict>
          </mc:Fallback>
        </mc:AlternateContent>
      </w:r>
    </w:p>
    <w:p w14:paraId="42E17311">
      <w:pPr>
        <w:pStyle w:val="10"/>
        <w:spacing w:before="6"/>
        <w:rPr>
          <w:rFonts w:ascii="Times New Roman" w:hAnsi="Times New Roman"/>
          <w:sz w:val="20"/>
          <w:lang w:eastAsia="zh-CN"/>
        </w:rPr>
      </w:pPr>
    </w:p>
    <w:p w14:paraId="79B49C85">
      <w:pPr>
        <w:jc w:val="center"/>
        <w:rPr>
          <w:rFonts w:eastAsia="黑体"/>
          <w:sz w:val="32"/>
          <w:szCs w:val="32"/>
        </w:rPr>
      </w:pPr>
      <w:r>
        <w:rPr>
          <w:rFonts w:eastAsia="黑体"/>
          <w:sz w:val="32"/>
          <w:szCs w:val="32"/>
        </w:rPr>
        <w:t>中国实验动物学会 发布</w:t>
      </w:r>
    </w:p>
    <w:p w14:paraId="3D6AF7AB">
      <w:pPr>
        <w:jc w:val="center"/>
        <w:rPr>
          <w:rFonts w:eastAsia="黑体"/>
          <w:sz w:val="32"/>
          <w:szCs w:val="32"/>
        </w:rPr>
        <w:sectPr>
          <w:footerReference r:id="rId7" w:type="first"/>
          <w:footerReference r:id="rId5" w:type="default"/>
          <w:footerReference r:id="rId6" w:type="even"/>
          <w:pgSz w:w="11905" w:h="16838"/>
          <w:pgMar w:top="1417" w:right="1417" w:bottom="1417" w:left="1417" w:header="850" w:footer="850" w:gutter="0"/>
          <w:pgNumType w:start="0"/>
          <w:cols w:space="0" w:num="1"/>
          <w:titlePg/>
          <w:docGrid w:type="lines" w:linePitch="313" w:charSpace="0"/>
        </w:sectPr>
      </w:pPr>
    </w:p>
    <w:p w14:paraId="4D11CFC4">
      <w:pPr>
        <w:pStyle w:val="24"/>
        <w:jc w:val="center"/>
        <w:rPr>
          <w:rFonts w:ascii="Times New Roman"/>
        </w:rPr>
      </w:pPr>
      <w:bookmarkStart w:id="4" w:name="_Toc30597"/>
      <w:bookmarkStart w:id="5" w:name="_Toc186818472"/>
    </w:p>
    <w:p w14:paraId="20A11537">
      <w:pPr>
        <w:pStyle w:val="24"/>
        <w:ind w:firstLine="640"/>
        <w:jc w:val="center"/>
        <w:rPr>
          <w:rFonts w:ascii="Times New Roman" w:eastAsia="黑体"/>
          <w:sz w:val="32"/>
          <w:szCs w:val="22"/>
        </w:rPr>
      </w:pPr>
      <w:r>
        <w:rPr>
          <w:rFonts w:hint="eastAsia" w:ascii="Times New Roman" w:eastAsia="黑体"/>
          <w:sz w:val="32"/>
          <w:szCs w:val="22"/>
        </w:rPr>
        <w:t>前</w:t>
      </w:r>
      <w:bookmarkStart w:id="6" w:name="BKQY"/>
      <w:r>
        <w:rPr>
          <w:rFonts w:hint="eastAsia" w:ascii="Times New Roman" w:eastAsia="黑体"/>
          <w:sz w:val="32"/>
          <w:szCs w:val="22"/>
        </w:rPr>
        <w:t xml:space="preserve">  言</w:t>
      </w:r>
      <w:bookmarkEnd w:id="0"/>
      <w:bookmarkEnd w:id="1"/>
      <w:bookmarkEnd w:id="2"/>
      <w:bookmarkEnd w:id="4"/>
      <w:bookmarkEnd w:id="5"/>
      <w:bookmarkEnd w:id="6"/>
    </w:p>
    <w:p w14:paraId="372B149B">
      <w:pPr>
        <w:pStyle w:val="24"/>
        <w:ind w:firstLine="640"/>
        <w:jc w:val="center"/>
        <w:rPr>
          <w:rFonts w:ascii="Times New Roman" w:eastAsia="黑体"/>
          <w:sz w:val="32"/>
          <w:szCs w:val="22"/>
        </w:rPr>
      </w:pPr>
    </w:p>
    <w:p w14:paraId="6039A44A">
      <w:pPr>
        <w:pStyle w:val="24"/>
        <w:spacing w:line="276" w:lineRule="auto"/>
        <w:rPr>
          <w:rFonts w:ascii="Times New Roman"/>
        </w:rPr>
      </w:pPr>
      <w:bookmarkStart w:id="7" w:name="_Toc466361598"/>
      <w:r>
        <w:rPr>
          <w:rFonts w:hint="eastAsia" w:ascii="Times New Roman"/>
        </w:rPr>
        <w:t>本文件按照GB/T　1.1—2020《标准化工作导则　第1部分：标准化文件的结构和起草规则》的规定起草。</w:t>
      </w:r>
    </w:p>
    <w:p w14:paraId="4102DAD3">
      <w:pPr>
        <w:pStyle w:val="24"/>
        <w:spacing w:line="276" w:lineRule="auto"/>
        <w:rPr>
          <w:rFonts w:ascii="Times New Roman"/>
        </w:rPr>
      </w:pPr>
      <w:r>
        <w:rPr>
          <w:rFonts w:hint="eastAsia" w:ascii="Times New Roman"/>
        </w:rPr>
        <w:t>本文件由</w:t>
      </w:r>
      <w:r>
        <w:rPr>
          <w:rFonts w:hint="eastAsia" w:ascii="Times New Roman"/>
          <w:color w:val="FF0000"/>
        </w:rPr>
        <w:t>中国实验动物学会</w:t>
      </w:r>
      <w:r>
        <w:rPr>
          <w:rFonts w:hint="eastAsia" w:ascii="Times New Roman"/>
        </w:rPr>
        <w:t>提出并归口。</w:t>
      </w:r>
    </w:p>
    <w:p w14:paraId="3B5D1E41">
      <w:pPr>
        <w:pStyle w:val="24"/>
        <w:spacing w:line="276" w:lineRule="auto"/>
        <w:rPr>
          <w:rFonts w:ascii="Times New Roman"/>
        </w:rPr>
      </w:pPr>
      <w:r>
        <w:rPr>
          <w:rFonts w:hint="eastAsia" w:ascii="Times New Roman"/>
        </w:rPr>
        <w:t>本文件</w:t>
      </w:r>
      <w:r>
        <w:rPr>
          <w:rFonts w:ascii="Times New Roman"/>
        </w:rPr>
        <w:t>起草单位：</w:t>
      </w:r>
      <w:r>
        <w:rPr>
          <w:rFonts w:hint="eastAsia" w:ascii="Times New Roman"/>
        </w:rPr>
        <w:t>中国科学院武汉病毒研究所、四川大学华西医院、</w:t>
      </w:r>
      <w:r>
        <w:rPr>
          <w:rFonts w:hint="eastAsia" w:ascii="Times New Roman"/>
          <w:szCs w:val="21"/>
        </w:rPr>
        <w:t>中国医学科学院医学实验动物研究所、</w:t>
      </w:r>
      <w:r>
        <w:rPr>
          <w:rFonts w:hint="eastAsia" w:ascii="Times New Roman"/>
        </w:rPr>
        <w:t>湖北省疾病预防控制中心及华中科技大学</w:t>
      </w:r>
      <w:r>
        <w:rPr>
          <w:rFonts w:ascii="Times New Roman"/>
        </w:rPr>
        <w:t>。</w:t>
      </w:r>
    </w:p>
    <w:p w14:paraId="748E0935">
      <w:pPr>
        <w:pStyle w:val="24"/>
        <w:spacing w:line="276" w:lineRule="auto"/>
        <w:rPr>
          <w:rFonts w:ascii="Times New Roman"/>
        </w:rPr>
      </w:pPr>
      <w:r>
        <w:rPr>
          <w:rFonts w:hint="eastAsia" w:ascii="Times New Roman"/>
        </w:rPr>
        <w:t>本文件主要</w:t>
      </w:r>
      <w:r>
        <w:rPr>
          <w:rFonts w:ascii="Times New Roman"/>
        </w:rPr>
        <w:t>起草人：</w:t>
      </w:r>
      <w:r>
        <w:rPr>
          <w:rFonts w:hint="eastAsia" w:ascii="Times New Roman"/>
        </w:rPr>
        <w:t>刘佳、罗凤鸣、魏强、安学芳、万华靖、杨文祥、汤小菊、周亦武及张帆</w:t>
      </w:r>
      <w:r>
        <w:rPr>
          <w:rFonts w:ascii="Times New Roman"/>
        </w:rPr>
        <w:t>。</w:t>
      </w:r>
    </w:p>
    <w:p w14:paraId="75CC93CD">
      <w:pPr>
        <w:pStyle w:val="24"/>
        <w:spacing w:line="276" w:lineRule="auto"/>
        <w:rPr>
          <w:rFonts w:ascii="Times New Roman"/>
        </w:rPr>
        <w:sectPr>
          <w:headerReference r:id="rId8" w:type="default"/>
          <w:footerReference r:id="rId10" w:type="default"/>
          <w:headerReference r:id="rId9" w:type="even"/>
          <w:footerReference r:id="rId11" w:type="even"/>
          <w:pgSz w:w="11905" w:h="16838"/>
          <w:pgMar w:top="1417" w:right="1417" w:bottom="1417" w:left="1417" w:header="850" w:footer="850" w:gutter="0"/>
          <w:cols w:space="0" w:num="1"/>
          <w:docGrid w:type="lines" w:linePitch="313" w:charSpace="0"/>
        </w:sectPr>
      </w:pPr>
      <w:r>
        <w:rPr>
          <w:rFonts w:hint="eastAsia" w:ascii="Times New Roman"/>
        </w:rPr>
        <w:t>本文件为首次发布。</w:t>
      </w:r>
      <w:bookmarkEnd w:id="7"/>
    </w:p>
    <w:p w14:paraId="72D94266">
      <w:pPr>
        <w:pStyle w:val="128"/>
        <w:outlineLvl w:val="9"/>
        <w:rPr>
          <w:rFonts w:ascii="Times New Roman"/>
          <w:szCs w:val="22"/>
        </w:rPr>
      </w:pPr>
      <w:r>
        <w:rPr>
          <w:rFonts w:hint="eastAsia" w:ascii="Times New Roman"/>
          <w:szCs w:val="22"/>
        </w:rPr>
        <w:t>实验动物 感染性肺损伤动物模型评价规范</w:t>
      </w:r>
    </w:p>
    <w:p w14:paraId="2F38F57E">
      <w:pPr>
        <w:pStyle w:val="81"/>
        <w:spacing w:before="313" w:after="313" w:line="276" w:lineRule="auto"/>
        <w:ind w:left="0"/>
        <w:rPr>
          <w:rFonts w:ascii="Times New Roman"/>
          <w:szCs w:val="21"/>
        </w:rPr>
      </w:pPr>
      <w:bookmarkStart w:id="8" w:name="_Toc186818473"/>
      <w:bookmarkStart w:id="9" w:name="_Toc181626901"/>
      <w:bookmarkStart w:id="10" w:name="_Toc184293563"/>
      <w:r>
        <w:rPr>
          <w:rFonts w:hint="eastAsia" w:ascii="Times New Roman"/>
          <w:szCs w:val="21"/>
        </w:rPr>
        <w:t xml:space="preserve"> 范围</w:t>
      </w:r>
      <w:bookmarkEnd w:id="8"/>
      <w:bookmarkEnd w:id="9"/>
      <w:bookmarkEnd w:id="10"/>
    </w:p>
    <w:p w14:paraId="7C7CF3F7">
      <w:pPr>
        <w:spacing w:line="276" w:lineRule="auto"/>
        <w:ind w:firstLine="420" w:firstLineChars="200"/>
      </w:pPr>
      <w:r>
        <w:t>本</w:t>
      </w:r>
      <w:r>
        <w:rPr>
          <w:rFonts w:hint="eastAsia"/>
        </w:rPr>
        <w:t>文件</w:t>
      </w:r>
      <w:r>
        <w:t>规定了实验动物</w:t>
      </w:r>
      <w:r>
        <w:rPr>
          <w:rFonts w:hint="eastAsia"/>
        </w:rPr>
        <w:t>因</w:t>
      </w:r>
      <w:r>
        <w:t>感染导致</w:t>
      </w:r>
      <w:r>
        <w:rPr>
          <w:rFonts w:hint="eastAsia"/>
        </w:rPr>
        <w:t>的</w:t>
      </w:r>
      <w:r>
        <w:t>急性肺损伤的评价方法和指标。</w:t>
      </w:r>
    </w:p>
    <w:p w14:paraId="0F778EE9">
      <w:pPr>
        <w:spacing w:line="276" w:lineRule="auto"/>
        <w:ind w:firstLine="420" w:firstLineChars="200"/>
      </w:pPr>
      <w:r>
        <w:t>本标准适用于实验动物因</w:t>
      </w:r>
      <w:r>
        <w:rPr>
          <w:rFonts w:hint="eastAsia"/>
        </w:rPr>
        <w:t>病原</w:t>
      </w:r>
      <w:r>
        <w:t>感染引起的</w:t>
      </w:r>
      <w:r>
        <w:rPr>
          <w:rFonts w:hint="eastAsia"/>
        </w:rPr>
        <w:t>小鼠急性</w:t>
      </w:r>
      <w:r>
        <w:t>肺损伤的评价。</w:t>
      </w:r>
    </w:p>
    <w:p w14:paraId="3E7EF5B6">
      <w:pPr>
        <w:pStyle w:val="81"/>
        <w:spacing w:before="313" w:after="313" w:line="276" w:lineRule="auto"/>
        <w:ind w:left="0"/>
        <w:rPr>
          <w:rFonts w:ascii="Times New Roman"/>
          <w:szCs w:val="21"/>
        </w:rPr>
      </w:pPr>
      <w:bookmarkStart w:id="11" w:name="_Toc186818474"/>
      <w:bookmarkStart w:id="12" w:name="_Toc184293564"/>
      <w:bookmarkStart w:id="13" w:name="_Toc181626902"/>
      <w:r>
        <w:rPr>
          <w:rFonts w:hint="eastAsia" w:ascii="Times New Roman"/>
          <w:szCs w:val="21"/>
        </w:rPr>
        <w:t xml:space="preserve"> 规范性引用文件</w:t>
      </w:r>
      <w:bookmarkEnd w:id="11"/>
      <w:bookmarkEnd w:id="12"/>
      <w:bookmarkEnd w:id="13"/>
    </w:p>
    <w:p w14:paraId="42C1D44D">
      <w:pPr>
        <w:spacing w:line="276" w:lineRule="auto"/>
        <w:ind w:firstLine="420" w:firstLineChars="200"/>
      </w:pPr>
      <w:r>
        <w:t>下列文件对于本文件的应用是必不可少的。凡是注日期的引用文件，仅所注日期的版本适用于本文件。凡是不注日期的引用文件，其最新版本（包括所有的修改单）适用于本文件。</w:t>
      </w:r>
    </w:p>
    <w:p w14:paraId="0E76E037">
      <w:pPr>
        <w:spacing w:line="276" w:lineRule="auto"/>
        <w:ind w:firstLine="525" w:firstLineChars="250"/>
        <w:rPr>
          <w:szCs w:val="21"/>
        </w:rPr>
      </w:pPr>
      <w:r>
        <w:rPr>
          <w:szCs w:val="21"/>
        </w:rPr>
        <w:t>T/CALAS 30-2017</w:t>
      </w:r>
      <w:r>
        <w:rPr>
          <w:rFonts w:hint="eastAsia"/>
          <w:szCs w:val="21"/>
        </w:rPr>
        <w:t>实验动物</w:t>
      </w:r>
      <w:r>
        <w:rPr>
          <w:szCs w:val="21"/>
        </w:rPr>
        <w:t xml:space="preserve"> 人类感染性疾病动物模型评价指南</w:t>
      </w:r>
    </w:p>
    <w:p w14:paraId="5C8F3B68">
      <w:pPr>
        <w:spacing w:line="276" w:lineRule="auto"/>
        <w:ind w:firstLine="525" w:firstLineChars="250"/>
        <w:rPr>
          <w:szCs w:val="21"/>
        </w:rPr>
      </w:pPr>
      <w:r>
        <w:rPr>
          <w:szCs w:val="21"/>
        </w:rPr>
        <w:t>GB/T 33681.1 高通量基因测序样本预处理方法 第1 部分：动物组织样本预处理</w:t>
      </w:r>
    </w:p>
    <w:p w14:paraId="43E2AB39">
      <w:pPr>
        <w:pStyle w:val="81"/>
        <w:spacing w:before="313" w:after="313" w:line="276" w:lineRule="auto"/>
        <w:ind w:left="0"/>
        <w:rPr>
          <w:rFonts w:ascii="Times New Roman"/>
          <w:szCs w:val="21"/>
        </w:rPr>
      </w:pPr>
      <w:bookmarkStart w:id="14" w:name="_Toc186818475"/>
      <w:bookmarkStart w:id="15" w:name="_Toc184293565"/>
      <w:bookmarkStart w:id="16" w:name="_Toc181626903"/>
      <w:r>
        <w:rPr>
          <w:rFonts w:hint="eastAsia" w:ascii="Times New Roman"/>
          <w:szCs w:val="21"/>
        </w:rPr>
        <w:t xml:space="preserve"> 术语和定义</w:t>
      </w:r>
      <w:bookmarkEnd w:id="14"/>
      <w:bookmarkEnd w:id="15"/>
      <w:bookmarkEnd w:id="16"/>
    </w:p>
    <w:p w14:paraId="551C9FD0">
      <w:pPr>
        <w:pStyle w:val="24"/>
        <w:spacing w:line="276" w:lineRule="auto"/>
        <w:ind w:firstLine="0" w:firstLineChars="0"/>
        <w:jc w:val="left"/>
        <w:rPr>
          <w:rFonts w:ascii="Times New Roman" w:eastAsia="黑体"/>
        </w:rPr>
      </w:pPr>
      <w:r>
        <w:rPr>
          <w:rFonts w:hint="eastAsia" w:ascii="Times New Roman" w:eastAsia="黑体"/>
        </w:rPr>
        <w:t xml:space="preserve">3.1 </w:t>
      </w:r>
    </w:p>
    <w:p w14:paraId="585D69B6">
      <w:pPr>
        <w:pStyle w:val="24"/>
        <w:spacing w:line="276" w:lineRule="auto"/>
        <w:ind w:firstLineChars="0"/>
        <w:jc w:val="left"/>
        <w:rPr>
          <w:rFonts w:ascii="黑体" w:hAnsi="黑体" w:eastAsia="黑体" w:cs="黑体"/>
        </w:rPr>
      </w:pPr>
      <w:r>
        <w:rPr>
          <w:rFonts w:hint="eastAsia" w:ascii="黑体" w:hAnsi="黑体" w:eastAsia="黑体" w:cs="黑体"/>
        </w:rPr>
        <w:t>急性肺损伤 Acute lung injury</w:t>
      </w:r>
    </w:p>
    <w:p w14:paraId="0BD6657B">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由内部或</w:t>
      </w:r>
      <w:r>
        <w:rPr>
          <w:rFonts w:ascii="Times New Roman" w:hAnsi="Times New Roman"/>
          <w:lang w:eastAsia="zh-CN"/>
        </w:rPr>
        <w:t>外部</w:t>
      </w:r>
      <w:r>
        <w:rPr>
          <w:rFonts w:hint="eastAsia" w:ascii="Times New Roman" w:hAnsi="Times New Roman"/>
          <w:lang w:eastAsia="zh-CN"/>
        </w:rPr>
        <w:t>危险因素暴露（</w:t>
      </w:r>
      <w:r>
        <w:rPr>
          <w:rFonts w:ascii="Times New Roman" w:hAnsi="Times New Roman"/>
          <w:lang w:eastAsia="zh-CN"/>
        </w:rPr>
        <w:t>包括</w:t>
      </w:r>
      <w:r>
        <w:rPr>
          <w:rFonts w:hint="eastAsia" w:ascii="Times New Roman" w:hAnsi="Times New Roman"/>
          <w:lang w:eastAsia="zh-CN"/>
        </w:rPr>
        <w:t>病原</w:t>
      </w:r>
      <w:r>
        <w:rPr>
          <w:rFonts w:ascii="Times New Roman" w:hAnsi="Times New Roman"/>
          <w:lang w:eastAsia="zh-CN"/>
        </w:rPr>
        <w:t>感染</w:t>
      </w:r>
      <w:r>
        <w:rPr>
          <w:rFonts w:hint="eastAsia" w:ascii="Times New Roman" w:hAnsi="Times New Roman"/>
          <w:lang w:eastAsia="zh-CN"/>
        </w:rPr>
        <w:t>）</w:t>
      </w:r>
      <w:r>
        <w:rPr>
          <w:rFonts w:ascii="Times New Roman" w:hAnsi="Times New Roman"/>
          <w:lang w:eastAsia="zh-CN"/>
        </w:rPr>
        <w:t>引起的肺部组织病理变化和功能障碍。</w:t>
      </w:r>
    </w:p>
    <w:p w14:paraId="08180EA1">
      <w:pPr>
        <w:pStyle w:val="24"/>
        <w:spacing w:line="276" w:lineRule="auto"/>
        <w:ind w:firstLine="0" w:firstLineChars="0"/>
        <w:jc w:val="left"/>
        <w:rPr>
          <w:rFonts w:ascii="Times New Roman" w:eastAsia="黑体"/>
        </w:rPr>
      </w:pPr>
      <w:r>
        <w:rPr>
          <w:rFonts w:hint="eastAsia" w:ascii="Times New Roman" w:eastAsia="黑体"/>
        </w:rPr>
        <w:t>3.2</w:t>
      </w:r>
    </w:p>
    <w:p w14:paraId="5574E591">
      <w:pPr>
        <w:pStyle w:val="24"/>
        <w:spacing w:line="276" w:lineRule="auto"/>
        <w:ind w:firstLineChars="0"/>
        <w:jc w:val="left"/>
        <w:rPr>
          <w:rFonts w:ascii="黑体" w:hAnsi="黑体" w:eastAsia="黑体" w:cs="黑体"/>
        </w:rPr>
      </w:pPr>
      <w:r>
        <w:rPr>
          <w:rFonts w:hint="eastAsia" w:ascii="黑体" w:hAnsi="黑体" w:eastAsia="黑体" w:cs="黑体"/>
        </w:rPr>
        <w:t>支气管肺泡灌洗液 broncho alveolar lavage fluid（BALF）</w:t>
      </w:r>
    </w:p>
    <w:p w14:paraId="6973F812">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向支气管肺泡内注入生理盐水并随即吸出，所收集的肺泡表面有效液体。</w:t>
      </w:r>
    </w:p>
    <w:p w14:paraId="54B7E36D">
      <w:pPr>
        <w:pStyle w:val="24"/>
        <w:spacing w:line="276" w:lineRule="auto"/>
        <w:ind w:firstLine="0" w:firstLineChars="0"/>
        <w:jc w:val="left"/>
        <w:rPr>
          <w:rFonts w:ascii="Times New Roman" w:eastAsia="黑体"/>
        </w:rPr>
      </w:pPr>
      <w:r>
        <w:rPr>
          <w:rFonts w:hint="eastAsia" w:ascii="Times New Roman" w:eastAsia="黑体"/>
        </w:rPr>
        <w:t>3.3</w:t>
      </w:r>
    </w:p>
    <w:p w14:paraId="6E7A9BAB">
      <w:pPr>
        <w:pStyle w:val="24"/>
        <w:spacing w:line="276" w:lineRule="auto"/>
        <w:ind w:firstLineChars="0"/>
        <w:jc w:val="left"/>
        <w:rPr>
          <w:rFonts w:ascii="黑体" w:hAnsi="黑体" w:eastAsia="黑体" w:cs="黑体"/>
        </w:rPr>
      </w:pPr>
      <w:r>
        <w:rPr>
          <w:rFonts w:hint="eastAsia" w:ascii="黑体" w:hAnsi="黑体" w:eastAsia="黑体" w:cs="黑体"/>
        </w:rPr>
        <w:t>肺湿/干重比 dry/wet ratio</w:t>
      </w:r>
    </w:p>
    <w:p w14:paraId="1722FDF4">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动物死亡时取全肺称重为湿重；置于烘箱中烘干后称重为干重；计算干/湿比，可以用来评估肺水肿的严重程度。</w:t>
      </w:r>
    </w:p>
    <w:p w14:paraId="6B9EA456">
      <w:pPr>
        <w:pStyle w:val="24"/>
        <w:spacing w:line="276" w:lineRule="auto"/>
        <w:ind w:firstLine="0" w:firstLineChars="0"/>
        <w:jc w:val="left"/>
        <w:rPr>
          <w:rFonts w:ascii="Times New Roman" w:eastAsia="黑体"/>
        </w:rPr>
      </w:pPr>
      <w:r>
        <w:rPr>
          <w:rFonts w:ascii="Times New Roman" w:eastAsia="黑体"/>
        </w:rPr>
        <w:t xml:space="preserve">3.4 </w:t>
      </w:r>
    </w:p>
    <w:p w14:paraId="73AB082C">
      <w:pPr>
        <w:pStyle w:val="24"/>
        <w:spacing w:line="276" w:lineRule="auto"/>
        <w:ind w:firstLineChars="0"/>
        <w:jc w:val="left"/>
        <w:rPr>
          <w:rFonts w:ascii="黑体" w:hAnsi="黑体" w:eastAsia="黑体" w:cs="黑体"/>
        </w:rPr>
      </w:pPr>
      <w:r>
        <w:rPr>
          <w:rFonts w:hint="eastAsia" w:ascii="黑体" w:hAnsi="黑体" w:eastAsia="黑体" w:cs="黑体"/>
        </w:rPr>
        <w:t>吸气时间 inspiration time（Ti）</w:t>
      </w:r>
    </w:p>
    <w:p w14:paraId="2EBFCD87">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从吸气开始到吸气末的时间。</w:t>
      </w:r>
    </w:p>
    <w:p w14:paraId="57334AC9">
      <w:pPr>
        <w:pStyle w:val="24"/>
        <w:spacing w:line="276" w:lineRule="auto"/>
        <w:ind w:firstLine="0" w:firstLineChars="0"/>
        <w:jc w:val="left"/>
        <w:rPr>
          <w:rFonts w:ascii="Times New Roman" w:eastAsia="黑体"/>
        </w:rPr>
      </w:pPr>
      <w:r>
        <w:rPr>
          <w:rFonts w:ascii="Times New Roman" w:eastAsia="黑体"/>
        </w:rPr>
        <w:t xml:space="preserve">3.5 </w:t>
      </w:r>
    </w:p>
    <w:p w14:paraId="0C3D4B1D">
      <w:pPr>
        <w:pStyle w:val="24"/>
        <w:spacing w:line="276" w:lineRule="auto"/>
        <w:ind w:firstLineChars="0"/>
        <w:jc w:val="left"/>
        <w:rPr>
          <w:rFonts w:ascii="黑体" w:hAnsi="黑体" w:eastAsia="黑体" w:cs="黑体"/>
        </w:rPr>
      </w:pPr>
      <w:r>
        <w:rPr>
          <w:rFonts w:hint="eastAsia" w:ascii="黑体" w:hAnsi="黑体" w:eastAsia="黑体" w:cs="黑体"/>
        </w:rPr>
        <w:t>呼气时间 expiration time（Te）</w:t>
      </w:r>
    </w:p>
    <w:p w14:paraId="1CE660CF">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从呼气开始到呼气末的时间。</w:t>
      </w:r>
    </w:p>
    <w:p w14:paraId="5177B877">
      <w:pPr>
        <w:pStyle w:val="24"/>
        <w:spacing w:line="276" w:lineRule="auto"/>
        <w:ind w:firstLine="0" w:firstLineChars="0"/>
        <w:jc w:val="left"/>
        <w:rPr>
          <w:rFonts w:ascii="Times New Roman" w:eastAsia="黑体"/>
        </w:rPr>
      </w:pPr>
      <w:r>
        <w:rPr>
          <w:rFonts w:hint="eastAsia" w:ascii="Times New Roman" w:eastAsia="黑体"/>
        </w:rPr>
        <w:t>3.</w:t>
      </w:r>
      <w:r>
        <w:rPr>
          <w:rFonts w:ascii="Times New Roman" w:eastAsia="黑体"/>
        </w:rPr>
        <w:t>6</w:t>
      </w:r>
    </w:p>
    <w:p w14:paraId="4545C272">
      <w:pPr>
        <w:pStyle w:val="24"/>
        <w:spacing w:line="276" w:lineRule="auto"/>
        <w:ind w:firstLineChars="0"/>
        <w:jc w:val="left"/>
        <w:rPr>
          <w:rFonts w:ascii="黑体" w:hAnsi="黑体" w:eastAsia="黑体" w:cs="黑体"/>
        </w:rPr>
      </w:pPr>
      <w:r>
        <w:rPr>
          <w:rFonts w:hint="eastAsia" w:ascii="黑体" w:hAnsi="黑体" w:eastAsia="黑体" w:cs="黑体"/>
        </w:rPr>
        <w:t xml:space="preserve">呼气峰值时间比率 peak expiratory time ratio（Rpef） </w:t>
      </w:r>
    </w:p>
    <w:p w14:paraId="4EF6B0D6">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呼气流速达到峰值的时间(TPEF)与Te的比值。</w:t>
      </w:r>
    </w:p>
    <w:p w14:paraId="4CF466B2">
      <w:pPr>
        <w:pStyle w:val="24"/>
        <w:spacing w:line="276" w:lineRule="auto"/>
        <w:ind w:firstLine="0" w:firstLineChars="0"/>
        <w:jc w:val="left"/>
        <w:rPr>
          <w:rFonts w:ascii="Times New Roman" w:eastAsia="黑体"/>
        </w:rPr>
      </w:pPr>
      <w:r>
        <w:rPr>
          <w:rFonts w:ascii="Times New Roman" w:eastAsia="黑体"/>
        </w:rPr>
        <w:t>3.7</w:t>
      </w:r>
    </w:p>
    <w:p w14:paraId="1C619191">
      <w:pPr>
        <w:pStyle w:val="24"/>
        <w:spacing w:line="276" w:lineRule="auto"/>
        <w:ind w:firstLineChars="0"/>
        <w:jc w:val="left"/>
        <w:rPr>
          <w:rFonts w:ascii="黑体" w:hAnsi="黑体" w:eastAsia="黑体" w:cs="黑体"/>
        </w:rPr>
      </w:pPr>
      <w:r>
        <w:rPr>
          <w:rFonts w:hint="eastAsia" w:ascii="黑体" w:hAnsi="黑体" w:eastAsia="黑体" w:cs="黑体"/>
        </w:rPr>
        <w:t xml:space="preserve">吸气末端暂停 end-inspiratory pause（EIP） </w:t>
      </w:r>
    </w:p>
    <w:p w14:paraId="3D304D45">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从吸气末至呼气开始之间的呼吸暂停。</w:t>
      </w:r>
    </w:p>
    <w:p w14:paraId="2B9922AA">
      <w:pPr>
        <w:pStyle w:val="24"/>
        <w:spacing w:line="276" w:lineRule="auto"/>
        <w:ind w:firstLine="0" w:firstLineChars="0"/>
        <w:jc w:val="left"/>
        <w:rPr>
          <w:rFonts w:ascii="Times New Roman" w:eastAsia="黑体"/>
        </w:rPr>
      </w:pPr>
      <w:r>
        <w:rPr>
          <w:rFonts w:ascii="Times New Roman" w:eastAsia="黑体"/>
        </w:rPr>
        <w:t>3.8</w:t>
      </w:r>
    </w:p>
    <w:p w14:paraId="4E4530C6">
      <w:pPr>
        <w:pStyle w:val="24"/>
        <w:spacing w:line="276" w:lineRule="auto"/>
        <w:ind w:firstLineChars="0"/>
        <w:jc w:val="left"/>
        <w:rPr>
          <w:rFonts w:ascii="黑体" w:hAnsi="黑体" w:eastAsia="黑体" w:cs="黑体"/>
        </w:rPr>
      </w:pPr>
      <w:r>
        <w:rPr>
          <w:rFonts w:hint="eastAsia" w:ascii="黑体" w:hAnsi="黑体" w:eastAsia="黑体" w:cs="黑体"/>
        </w:rPr>
        <w:t>呼气末暂停 end-expiratory pause（EEP）</w:t>
      </w:r>
    </w:p>
    <w:p w14:paraId="3CE9A49B">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从呼气末至吸气开始之间的呼吸暂停。</w:t>
      </w:r>
    </w:p>
    <w:p w14:paraId="62071290">
      <w:pPr>
        <w:pStyle w:val="24"/>
        <w:spacing w:line="276" w:lineRule="auto"/>
        <w:ind w:firstLine="0" w:firstLineChars="0"/>
        <w:jc w:val="left"/>
        <w:rPr>
          <w:rFonts w:ascii="Times New Roman" w:eastAsia="黑体"/>
        </w:rPr>
      </w:pPr>
      <w:r>
        <w:rPr>
          <w:rFonts w:hint="eastAsia" w:ascii="Times New Roman" w:eastAsia="黑体"/>
        </w:rPr>
        <w:t>3.</w:t>
      </w:r>
      <w:r>
        <w:rPr>
          <w:rFonts w:ascii="Times New Roman" w:eastAsia="黑体"/>
        </w:rPr>
        <w:t>9</w:t>
      </w:r>
    </w:p>
    <w:p w14:paraId="00DF7D74">
      <w:pPr>
        <w:pStyle w:val="24"/>
        <w:spacing w:line="276" w:lineRule="auto"/>
        <w:ind w:firstLineChars="0"/>
        <w:jc w:val="left"/>
        <w:rPr>
          <w:rFonts w:ascii="黑体" w:hAnsi="黑体" w:eastAsia="黑体" w:cs="黑体"/>
        </w:rPr>
      </w:pPr>
      <w:r>
        <w:rPr>
          <w:rFonts w:hint="eastAsia" w:ascii="黑体" w:hAnsi="黑体" w:eastAsia="黑体" w:cs="黑体"/>
        </w:rPr>
        <w:t xml:space="preserve">潮气量 tidal volume（TVb） </w:t>
      </w:r>
    </w:p>
    <w:p w14:paraId="066D56EF">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每次呼吸时吸人或呼出的气体量。</w:t>
      </w:r>
    </w:p>
    <w:p w14:paraId="7CB66B30">
      <w:pPr>
        <w:pStyle w:val="24"/>
        <w:spacing w:line="276" w:lineRule="auto"/>
        <w:ind w:firstLine="0" w:firstLineChars="0"/>
        <w:jc w:val="left"/>
        <w:rPr>
          <w:rFonts w:ascii="Times New Roman" w:eastAsia="黑体"/>
        </w:rPr>
      </w:pPr>
      <w:r>
        <w:rPr>
          <w:rFonts w:hint="eastAsia" w:ascii="Times New Roman" w:eastAsia="黑体"/>
        </w:rPr>
        <w:t>3.1</w:t>
      </w:r>
      <w:r>
        <w:rPr>
          <w:rFonts w:ascii="Times New Roman" w:eastAsia="黑体"/>
        </w:rPr>
        <w:t>0</w:t>
      </w:r>
    </w:p>
    <w:p w14:paraId="414C5351">
      <w:pPr>
        <w:pStyle w:val="24"/>
        <w:spacing w:line="276" w:lineRule="auto"/>
        <w:ind w:firstLineChars="0"/>
        <w:jc w:val="left"/>
        <w:rPr>
          <w:rFonts w:ascii="黑体" w:hAnsi="黑体" w:eastAsia="黑体" w:cs="黑体"/>
        </w:rPr>
      </w:pPr>
      <w:r>
        <w:rPr>
          <w:rFonts w:hint="eastAsia" w:ascii="黑体" w:hAnsi="黑体" w:eastAsia="黑体" w:cs="黑体"/>
        </w:rPr>
        <w:t>最大吸气流速 peak inspiratory fow（PIF）</w:t>
      </w:r>
    </w:p>
    <w:p w14:paraId="60823D87">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吸气时的峰值流速。</w:t>
      </w:r>
    </w:p>
    <w:p w14:paraId="4B0B55E1">
      <w:pPr>
        <w:pStyle w:val="24"/>
        <w:spacing w:line="276" w:lineRule="auto"/>
        <w:ind w:firstLine="0" w:firstLineChars="0"/>
        <w:jc w:val="left"/>
        <w:rPr>
          <w:rFonts w:ascii="Times New Roman" w:eastAsia="黑体"/>
        </w:rPr>
      </w:pPr>
      <w:r>
        <w:rPr>
          <w:rFonts w:hint="eastAsia" w:ascii="Times New Roman" w:eastAsia="黑体"/>
        </w:rPr>
        <w:t>3.1</w:t>
      </w:r>
      <w:r>
        <w:rPr>
          <w:rFonts w:ascii="Times New Roman" w:eastAsia="黑体"/>
        </w:rPr>
        <w:t>1</w:t>
      </w:r>
    </w:p>
    <w:p w14:paraId="2D149940">
      <w:pPr>
        <w:pStyle w:val="24"/>
        <w:spacing w:line="276" w:lineRule="auto"/>
        <w:ind w:firstLineChars="0"/>
        <w:jc w:val="left"/>
        <w:rPr>
          <w:rFonts w:ascii="黑体" w:hAnsi="黑体" w:eastAsia="黑体" w:cs="黑体"/>
        </w:rPr>
      </w:pPr>
      <w:r>
        <w:rPr>
          <w:rFonts w:hint="eastAsia" w:ascii="黑体" w:hAnsi="黑体" w:eastAsia="黑体" w:cs="黑体"/>
        </w:rPr>
        <w:t xml:space="preserve">最大呼气流速 peakexpiratory flow（PEF） </w:t>
      </w:r>
    </w:p>
    <w:p w14:paraId="20149833">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呼气时的峰值流速。</w:t>
      </w:r>
    </w:p>
    <w:p w14:paraId="5510938A">
      <w:pPr>
        <w:pStyle w:val="24"/>
        <w:spacing w:line="276" w:lineRule="auto"/>
        <w:ind w:firstLine="0" w:firstLineChars="0"/>
        <w:jc w:val="left"/>
        <w:rPr>
          <w:rFonts w:ascii="Times New Roman" w:eastAsia="黑体"/>
        </w:rPr>
      </w:pPr>
      <w:r>
        <w:rPr>
          <w:rFonts w:hint="eastAsia" w:ascii="Times New Roman" w:eastAsia="黑体"/>
        </w:rPr>
        <w:t>3.12</w:t>
      </w:r>
    </w:p>
    <w:p w14:paraId="4CBE1D70">
      <w:pPr>
        <w:pStyle w:val="24"/>
        <w:spacing w:line="276" w:lineRule="auto"/>
        <w:ind w:firstLineChars="0"/>
        <w:jc w:val="left"/>
        <w:rPr>
          <w:rFonts w:ascii="黑体" w:hAnsi="黑体" w:eastAsia="黑体" w:cs="黑体"/>
        </w:rPr>
      </w:pPr>
      <w:r>
        <w:rPr>
          <w:rFonts w:hint="eastAsia" w:ascii="黑体" w:hAnsi="黑体" w:eastAsia="黑体" w:cs="黑体"/>
        </w:rPr>
        <w:t xml:space="preserve">呼气中期流速 expiratory flow 50（EF50） </w:t>
      </w:r>
    </w:p>
    <w:p w14:paraId="087A997E">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表示呼出50%潮气量时的呼气流速。</w:t>
      </w:r>
    </w:p>
    <w:p w14:paraId="36C4DC34">
      <w:pPr>
        <w:pStyle w:val="24"/>
        <w:spacing w:line="276" w:lineRule="auto"/>
        <w:ind w:firstLine="0" w:firstLineChars="0"/>
        <w:jc w:val="left"/>
        <w:rPr>
          <w:rFonts w:ascii="Times New Roman" w:eastAsia="黑体"/>
        </w:rPr>
      </w:pPr>
      <w:r>
        <w:rPr>
          <w:rFonts w:hint="eastAsia" w:ascii="Times New Roman" w:eastAsia="黑体"/>
        </w:rPr>
        <w:t>3.13</w:t>
      </w:r>
    </w:p>
    <w:p w14:paraId="49FA1E85">
      <w:pPr>
        <w:pStyle w:val="24"/>
        <w:spacing w:line="276" w:lineRule="auto"/>
        <w:ind w:firstLineChars="0"/>
        <w:jc w:val="left"/>
        <w:rPr>
          <w:rFonts w:ascii="黑体" w:hAnsi="黑体" w:eastAsia="黑体" w:cs="黑体"/>
        </w:rPr>
      </w:pPr>
      <w:r>
        <w:rPr>
          <w:rFonts w:hint="eastAsia" w:ascii="黑体" w:hAnsi="黑体" w:eastAsia="黑体" w:cs="黑体"/>
        </w:rPr>
        <w:t xml:space="preserve">呼吸暂停 Pause </w:t>
      </w:r>
    </w:p>
    <w:p w14:paraId="190D74B8">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呼气早期和晚期的时间对比，数值上等于(Te/Tr)-1。</w:t>
      </w:r>
    </w:p>
    <w:p w14:paraId="359E3E4E">
      <w:pPr>
        <w:pStyle w:val="24"/>
        <w:spacing w:line="276" w:lineRule="auto"/>
        <w:ind w:firstLine="0" w:firstLineChars="0"/>
        <w:jc w:val="left"/>
        <w:rPr>
          <w:rFonts w:ascii="Times New Roman" w:eastAsia="黑体"/>
        </w:rPr>
      </w:pPr>
      <w:r>
        <w:rPr>
          <w:rFonts w:hint="eastAsia" w:ascii="Times New Roman" w:eastAsia="黑体"/>
        </w:rPr>
        <w:t>3.14</w:t>
      </w:r>
    </w:p>
    <w:p w14:paraId="30009CB0">
      <w:pPr>
        <w:pStyle w:val="24"/>
        <w:spacing w:line="276" w:lineRule="auto"/>
        <w:ind w:firstLineChars="0"/>
        <w:jc w:val="left"/>
        <w:rPr>
          <w:rFonts w:ascii="黑体" w:hAnsi="黑体" w:eastAsia="黑体" w:cs="黑体"/>
        </w:rPr>
      </w:pPr>
      <w:r>
        <w:rPr>
          <w:rFonts w:hint="eastAsia" w:ascii="黑体" w:hAnsi="黑体" w:eastAsia="黑体" w:cs="黑体"/>
        </w:rPr>
        <w:t xml:space="preserve">松弛时间 relaxation time（Tr） </w:t>
      </w:r>
    </w:p>
    <w:p w14:paraId="37E671AF">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动物呼出一定量气体所需的时间。</w:t>
      </w:r>
    </w:p>
    <w:p w14:paraId="1F14955C">
      <w:pPr>
        <w:pStyle w:val="24"/>
        <w:spacing w:line="276" w:lineRule="auto"/>
        <w:ind w:firstLine="0" w:firstLineChars="0"/>
        <w:jc w:val="left"/>
        <w:rPr>
          <w:rFonts w:ascii="Times New Roman" w:eastAsia="黑体"/>
        </w:rPr>
      </w:pPr>
      <w:r>
        <w:rPr>
          <w:rFonts w:hint="eastAsia" w:ascii="Times New Roman" w:eastAsia="黑体"/>
        </w:rPr>
        <w:t>3.15</w:t>
      </w:r>
    </w:p>
    <w:p w14:paraId="747748FC">
      <w:pPr>
        <w:pStyle w:val="24"/>
        <w:spacing w:line="276" w:lineRule="auto"/>
        <w:ind w:firstLineChars="0"/>
        <w:jc w:val="left"/>
        <w:rPr>
          <w:rFonts w:ascii="黑体" w:hAnsi="黑体" w:eastAsia="黑体" w:cs="黑体"/>
        </w:rPr>
      </w:pPr>
      <w:r>
        <w:rPr>
          <w:rFonts w:hint="eastAsia" w:ascii="黑体" w:hAnsi="黑体" w:eastAsia="黑体" w:cs="黑体"/>
        </w:rPr>
        <w:t>气道狭窄指数 enhanced pause（ Penh）</w:t>
      </w:r>
    </w:p>
    <w:p w14:paraId="50195779">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是反应气道阻力的指标,数值上等于(Te/Tr-1) ×(PEF/PIF)。</w:t>
      </w:r>
    </w:p>
    <w:p w14:paraId="6A84DEAB">
      <w:pPr>
        <w:pStyle w:val="24"/>
        <w:spacing w:line="276" w:lineRule="auto"/>
        <w:ind w:firstLine="0" w:firstLineChars="0"/>
        <w:jc w:val="left"/>
        <w:rPr>
          <w:rFonts w:ascii="Times New Roman" w:eastAsia="黑体"/>
        </w:rPr>
      </w:pPr>
      <w:r>
        <w:rPr>
          <w:rFonts w:hint="eastAsia" w:ascii="Times New Roman" w:eastAsia="黑体"/>
        </w:rPr>
        <w:t>3.16</w:t>
      </w:r>
    </w:p>
    <w:p w14:paraId="17734E1B">
      <w:pPr>
        <w:pStyle w:val="24"/>
        <w:spacing w:line="276" w:lineRule="auto"/>
        <w:ind w:firstLineChars="0"/>
        <w:jc w:val="left"/>
        <w:rPr>
          <w:rFonts w:ascii="黑体" w:hAnsi="黑体" w:eastAsia="黑体" w:cs="黑体"/>
        </w:rPr>
      </w:pPr>
      <w:r>
        <w:rPr>
          <w:rFonts w:hint="eastAsia" w:ascii="黑体" w:hAnsi="黑体" w:eastAsia="黑体" w:cs="黑体"/>
        </w:rPr>
        <w:t xml:space="preserve">每分钟通气量 minute volume </w:t>
      </w:r>
    </w:p>
    <w:p w14:paraId="5583759C">
      <w:pPr>
        <w:pStyle w:val="10"/>
        <w:spacing w:before="1" w:after="156" w:afterLines="50" w:line="276" w:lineRule="auto"/>
        <w:ind w:firstLine="420" w:firstLineChars="200"/>
        <w:jc w:val="both"/>
        <w:rPr>
          <w:rFonts w:ascii="Times New Roman" w:hAnsi="Times New Roman"/>
          <w:lang w:eastAsia="zh-CN"/>
        </w:rPr>
      </w:pPr>
      <w:r>
        <w:rPr>
          <w:rFonts w:hint="eastAsia" w:ascii="Times New Roman" w:hAnsi="Times New Roman"/>
          <w:lang w:eastAsia="zh-CN"/>
        </w:rPr>
        <w:t>每分钟吸入或出呼出的气体总量,等于潮气量和呼吸频率的乘积。</w:t>
      </w:r>
      <w:r>
        <w:rPr>
          <w:rFonts w:hint="eastAsia" w:ascii="Times New Roman" w:hAnsi="Times New Roman"/>
          <w:lang w:eastAsia="zh-CN"/>
        </w:rPr>
        <w:tab/>
      </w:r>
    </w:p>
    <w:p w14:paraId="0D02C5C9">
      <w:pPr>
        <w:pStyle w:val="81"/>
        <w:spacing w:before="313" w:after="313" w:line="276" w:lineRule="auto"/>
        <w:ind w:left="0"/>
        <w:rPr>
          <w:rFonts w:ascii="Times New Roman"/>
          <w:szCs w:val="21"/>
        </w:rPr>
      </w:pPr>
      <w:bookmarkStart w:id="17" w:name="_Toc181354841"/>
      <w:bookmarkStart w:id="18" w:name="_Toc186818476"/>
      <w:bookmarkStart w:id="19" w:name="_Toc181626904"/>
      <w:bookmarkStart w:id="20" w:name="_Toc184293566"/>
      <w:r>
        <w:rPr>
          <w:rFonts w:hint="eastAsia" w:ascii="Times New Roman"/>
          <w:szCs w:val="21"/>
        </w:rPr>
        <w:t>生物安全风险评估</w:t>
      </w:r>
      <w:bookmarkEnd w:id="17"/>
      <w:bookmarkEnd w:id="18"/>
      <w:bookmarkEnd w:id="19"/>
      <w:bookmarkEnd w:id="20"/>
    </w:p>
    <w:p w14:paraId="591C7E5A">
      <w:pPr>
        <w:spacing w:line="276" w:lineRule="auto"/>
      </w:pPr>
      <w:r>
        <w:rPr>
          <w:rFonts w:hint="eastAsia" w:ascii="黑体" w:hAnsi="黑体" w:eastAsia="黑体" w:cs="黑体"/>
        </w:rPr>
        <w:t xml:space="preserve">4.1  </w:t>
      </w:r>
      <w:r>
        <w:rPr>
          <w:rFonts w:hint="eastAsia"/>
        </w:rPr>
        <w:t>病原感染实验应依据《人间传染病原微生物目录》、符合GB 19489生物安全防护等级要求在</w:t>
      </w:r>
      <w:r>
        <w:t>对应</w:t>
      </w:r>
      <w:r>
        <w:rPr>
          <w:rFonts w:hint="eastAsia"/>
        </w:rPr>
        <w:t>等级</w:t>
      </w:r>
      <w:r>
        <w:t>的</w:t>
      </w:r>
      <w:r>
        <w:rPr>
          <w:rFonts w:hint="eastAsia"/>
        </w:rPr>
        <w:t>生物安全实验室</w:t>
      </w:r>
      <w:r>
        <w:t>开展</w:t>
      </w:r>
      <w:r>
        <w:rPr>
          <w:rFonts w:hint="eastAsia"/>
        </w:rPr>
        <w:t>。做好生物安全防护，避免发生危害生物安全和公共安全的事件。</w:t>
      </w:r>
    </w:p>
    <w:p w14:paraId="4214E573">
      <w:pPr>
        <w:spacing w:line="276" w:lineRule="auto"/>
      </w:pPr>
      <w:r>
        <w:rPr>
          <w:rFonts w:hint="eastAsia" w:ascii="黑体" w:hAnsi="黑体" w:eastAsia="黑体" w:cs="黑体"/>
        </w:rPr>
        <w:t xml:space="preserve">4.2  </w:t>
      </w:r>
      <w:r>
        <w:rPr>
          <w:rFonts w:hint="eastAsia"/>
        </w:rPr>
        <w:t>感染动物样品的灭活，应选择经验证有效的灭活方式、在对应等级的生物安全实验的生物安全柜内进行。</w:t>
      </w:r>
    </w:p>
    <w:p w14:paraId="7AF0423D">
      <w:pPr>
        <w:spacing w:line="276" w:lineRule="auto"/>
      </w:pPr>
      <w:r>
        <w:rPr>
          <w:rFonts w:hint="eastAsia" w:ascii="黑体" w:hAnsi="黑体" w:eastAsia="黑体" w:cs="黑体"/>
        </w:rPr>
        <w:t xml:space="preserve">4.3  </w:t>
      </w:r>
      <w:r>
        <w:rPr>
          <w:rFonts w:hint="eastAsia"/>
        </w:rPr>
        <w:t>对于小鼠适应毒株、变异毒株等未经验证生物安全性的毒株，需要进行风险评估，确定其生物安全危害及开展实验的生物安全防护等级。</w:t>
      </w:r>
    </w:p>
    <w:p w14:paraId="49113E9A">
      <w:pPr>
        <w:spacing w:line="276" w:lineRule="auto"/>
      </w:pPr>
      <w:r>
        <w:rPr>
          <w:rFonts w:hint="eastAsia" w:ascii="黑体" w:hAnsi="黑体" w:eastAsia="黑体" w:cs="黑体"/>
        </w:rPr>
        <w:t xml:space="preserve">4.4  </w:t>
      </w:r>
      <w:r>
        <w:rPr>
          <w:rFonts w:hint="eastAsia"/>
        </w:rPr>
        <w:t>动物感染样品的处理</w:t>
      </w:r>
      <w:r>
        <w:t>及</w:t>
      </w:r>
      <w:r>
        <w:rPr>
          <w:rFonts w:hint="eastAsia"/>
        </w:rPr>
        <w:t>所产生的风险及防控措施按附录</w:t>
      </w:r>
      <w:r>
        <w:t>G</w:t>
      </w:r>
      <w:r>
        <w:rPr>
          <w:rFonts w:hint="eastAsia"/>
        </w:rPr>
        <w:t>处理。</w:t>
      </w:r>
    </w:p>
    <w:p w14:paraId="1E45D4AB">
      <w:pPr>
        <w:pStyle w:val="81"/>
        <w:spacing w:before="313" w:after="313" w:line="276" w:lineRule="auto"/>
        <w:ind w:left="0"/>
        <w:rPr>
          <w:rFonts w:ascii="Times New Roman"/>
          <w:szCs w:val="21"/>
        </w:rPr>
      </w:pPr>
      <w:bookmarkStart w:id="21" w:name="_Toc184293567"/>
      <w:bookmarkStart w:id="22" w:name="_Toc181626905"/>
      <w:bookmarkStart w:id="23" w:name="_Toc186818477"/>
      <w:r>
        <w:rPr>
          <w:rFonts w:hint="eastAsia" w:ascii="Times New Roman"/>
          <w:szCs w:val="21"/>
        </w:rPr>
        <w:t>评价指标</w:t>
      </w:r>
      <w:bookmarkEnd w:id="21"/>
      <w:bookmarkEnd w:id="22"/>
      <w:bookmarkEnd w:id="23"/>
    </w:p>
    <w:p w14:paraId="79C44D88">
      <w:pPr>
        <w:pStyle w:val="62"/>
        <w:numPr>
          <w:ilvl w:val="1"/>
          <w:numId w:val="0"/>
        </w:numPr>
        <w:spacing w:before="313" w:beforeLines="100" w:after="313" w:afterLines="100" w:line="276" w:lineRule="auto"/>
        <w:jc w:val="both"/>
        <w:rPr>
          <w:rFonts w:hAnsi="黑体" w:cs="黑体"/>
        </w:rPr>
      </w:pPr>
      <w:bookmarkStart w:id="24" w:name="_Toc186818478"/>
      <w:bookmarkStart w:id="25" w:name="_Toc184293568"/>
      <w:r>
        <w:rPr>
          <w:rFonts w:hint="eastAsia" w:hAnsi="黑体" w:cs="黑体"/>
        </w:rPr>
        <w:t>5.1  评价原则</w:t>
      </w:r>
      <w:bookmarkEnd w:id="24"/>
      <w:bookmarkEnd w:id="25"/>
    </w:p>
    <w:p w14:paraId="0F02624A">
      <w:pPr>
        <w:spacing w:line="276" w:lineRule="auto"/>
      </w:pPr>
      <w:r>
        <w:rPr>
          <w:rFonts w:hint="eastAsia" w:ascii="黑体" w:hAnsi="黑体" w:eastAsia="黑体" w:cs="黑体"/>
        </w:rPr>
        <w:t xml:space="preserve">5.1.1  </w:t>
      </w:r>
      <w:r>
        <w:rPr>
          <w:rFonts w:hint="eastAsia"/>
        </w:rPr>
        <w:t>指标选择</w:t>
      </w:r>
      <w:r>
        <w:t>：</w:t>
      </w:r>
      <w:r>
        <w:rPr>
          <w:rFonts w:hint="eastAsia"/>
        </w:rPr>
        <w:t>针对病原</w:t>
      </w:r>
      <w:r>
        <w:t>感染导致的肺损伤，应首先明确</w:t>
      </w:r>
      <w:r>
        <w:rPr>
          <w:rFonts w:hint="eastAsia"/>
        </w:rPr>
        <w:t>肺部病原</w:t>
      </w:r>
      <w:r>
        <w:t>感染的情况，在此基础上</w:t>
      </w:r>
      <w:r>
        <w:rPr>
          <w:rFonts w:hint="eastAsia"/>
        </w:rPr>
        <w:t>参照2022年美国胸科协会组织制定的急性肺损伤评价的专家共识（update on the features and measurements of Experimental Acute Lung Injury in Animal），开展急性肺损伤评价。评价指标包括以下4种肺</w:t>
      </w:r>
      <w:r>
        <w:t>损伤类型</w:t>
      </w:r>
      <w:r>
        <w:rPr>
          <w:rFonts w:hint="eastAsia"/>
        </w:rPr>
        <w:t>：1）肺组织损伤；2) 肺泡-毛细血管屏障损伤；3）存在炎症反应；4）肺生理功能障碍，为了合理评价急性肺损伤的严重程度，建议根据病原感染实验的目的及</w:t>
      </w:r>
      <w:r>
        <w:t>实验条件</w:t>
      </w:r>
      <w:r>
        <w:rPr>
          <w:rFonts w:hint="eastAsia"/>
        </w:rPr>
        <w:t>，开展至少3个以上损伤类型的评价，每个类型损伤要求评价至少</w:t>
      </w:r>
      <w:r>
        <w:t>1</w:t>
      </w:r>
      <w:r>
        <w:rPr>
          <w:rFonts w:hint="eastAsia"/>
        </w:rPr>
        <w:t>个指标。</w:t>
      </w:r>
    </w:p>
    <w:p w14:paraId="64899989">
      <w:pPr>
        <w:spacing w:line="276" w:lineRule="auto"/>
      </w:pPr>
      <w:r>
        <w:rPr>
          <w:rFonts w:hint="eastAsia" w:ascii="黑体" w:hAnsi="黑体" w:eastAsia="黑体" w:cs="黑体"/>
        </w:rPr>
        <w:t xml:space="preserve">5.1.2  </w:t>
      </w:r>
      <w:r>
        <w:rPr>
          <w:rFonts w:hint="eastAsia"/>
        </w:rPr>
        <w:t>评价结果质量控制</w:t>
      </w:r>
      <w:r>
        <w:t>：</w:t>
      </w:r>
      <w:r>
        <w:rPr>
          <w:rFonts w:hint="eastAsia"/>
        </w:rPr>
        <w:t>为确保评价结果的</w:t>
      </w:r>
      <w:r>
        <w:t>代表性，</w:t>
      </w:r>
      <w:r>
        <w:rPr>
          <w:rFonts w:hint="eastAsia"/>
        </w:rPr>
        <w:t>在进行病原</w:t>
      </w:r>
      <w:r>
        <w:t>感染实验</w:t>
      </w:r>
      <w:r>
        <w:rPr>
          <w:rFonts w:hint="eastAsia"/>
        </w:rPr>
        <w:t>时</w:t>
      </w:r>
      <w:r>
        <w:t>，</w:t>
      </w:r>
      <w:r>
        <w:rPr>
          <w:rFonts w:hint="eastAsia"/>
        </w:rPr>
        <w:t>选择背景</w:t>
      </w:r>
      <w:r>
        <w:t>、</w:t>
      </w:r>
      <w:r>
        <w:rPr>
          <w:rFonts w:hint="eastAsia"/>
        </w:rPr>
        <w:t>周龄</w:t>
      </w:r>
      <w:r>
        <w:t>一致</w:t>
      </w:r>
      <w:r>
        <w:rPr>
          <w:rFonts w:hint="eastAsia"/>
        </w:rPr>
        <w:t>的动物</w:t>
      </w:r>
      <w:r>
        <w:t>进行随机分组，</w:t>
      </w:r>
      <w:r>
        <w:rPr>
          <w:rFonts w:hint="eastAsia"/>
        </w:rPr>
        <w:t>中型</w:t>
      </w:r>
      <w:r>
        <w:t>及大型动物每组至少3</w:t>
      </w:r>
      <w:r>
        <w:rPr>
          <w:rFonts w:hint="eastAsia"/>
        </w:rPr>
        <w:t>只，</w:t>
      </w:r>
      <w:r>
        <w:t>小型动物每组至少</w:t>
      </w:r>
      <w:r>
        <w:rPr>
          <w:rFonts w:hint="eastAsia"/>
        </w:rPr>
        <w:t>5只。</w:t>
      </w:r>
    </w:p>
    <w:p w14:paraId="01F37DA8">
      <w:pPr>
        <w:spacing w:line="276" w:lineRule="auto"/>
      </w:pPr>
      <w:r>
        <w:rPr>
          <w:rFonts w:hint="eastAsia" w:ascii="黑体" w:hAnsi="黑体" w:eastAsia="黑体" w:cs="黑体"/>
        </w:rPr>
        <w:t xml:space="preserve">5.1.3  </w:t>
      </w:r>
      <w:r>
        <w:rPr>
          <w:rFonts w:hint="eastAsia"/>
        </w:rPr>
        <w:t>生物安全</w:t>
      </w:r>
      <w:r>
        <w:t>：</w:t>
      </w:r>
      <w:r>
        <w:rPr>
          <w:rFonts w:hint="eastAsia"/>
        </w:rPr>
        <w:t>在评价过程中，要规避</w:t>
      </w:r>
      <w:r>
        <w:t>生物</w:t>
      </w:r>
      <w:r>
        <w:rPr>
          <w:rFonts w:hint="eastAsia"/>
        </w:rPr>
        <w:t>安全</w:t>
      </w:r>
      <w:r>
        <w:t>风险大的</w:t>
      </w:r>
      <w:r>
        <w:rPr>
          <w:rFonts w:hint="eastAsia"/>
        </w:rPr>
        <w:t>评价方法</w:t>
      </w:r>
      <w:r>
        <w:t>，</w:t>
      </w:r>
      <w:r>
        <w:rPr>
          <w:rFonts w:hint="eastAsia"/>
        </w:rPr>
        <w:t>避免任何途径导致对人员和环境的生物危害发生，严格按照</w:t>
      </w:r>
      <w:r>
        <w:t>《病原微生</w:t>
      </w:r>
      <w:r>
        <w:rPr>
          <w:rFonts w:hint="eastAsia"/>
        </w:rPr>
        <w:t>物实验室生物安全管理条例》和</w:t>
      </w:r>
      <w:r>
        <w:t xml:space="preserve"> T/CALAS 7—2017 中有关要求进行</w:t>
      </w:r>
      <w:r>
        <w:rPr>
          <w:rFonts w:hint="eastAsia"/>
        </w:rPr>
        <w:t>。</w:t>
      </w:r>
    </w:p>
    <w:p w14:paraId="4F62FC9B">
      <w:pPr>
        <w:pStyle w:val="62"/>
        <w:numPr>
          <w:ilvl w:val="1"/>
          <w:numId w:val="0"/>
        </w:numPr>
        <w:spacing w:before="313" w:beforeLines="100" w:after="313" w:afterLines="100" w:line="276" w:lineRule="auto"/>
        <w:jc w:val="both"/>
        <w:rPr>
          <w:rFonts w:hAnsi="黑体" w:cs="黑体"/>
        </w:rPr>
      </w:pPr>
      <w:bookmarkStart w:id="26" w:name="_Toc184293574"/>
      <w:bookmarkStart w:id="27" w:name="_Toc186818479"/>
      <w:r>
        <w:rPr>
          <w:rFonts w:hint="eastAsia" w:hAnsi="黑体" w:cs="黑体"/>
        </w:rPr>
        <w:t>5.2  病原数量</w:t>
      </w:r>
      <w:bookmarkEnd w:id="26"/>
      <w:bookmarkEnd w:id="27"/>
    </w:p>
    <w:p w14:paraId="7C99D28A">
      <w:pPr>
        <w:spacing w:line="276" w:lineRule="auto"/>
      </w:pPr>
      <w:r>
        <w:rPr>
          <w:rFonts w:hint="eastAsia" w:ascii="黑体" w:hAnsi="黑体" w:eastAsia="黑体" w:cs="黑体"/>
        </w:rPr>
        <w:t xml:space="preserve">5.2.1  </w:t>
      </w:r>
      <w:r>
        <w:rPr>
          <w:rFonts w:hint="eastAsia"/>
        </w:rPr>
        <w:t>病原基因组</w:t>
      </w:r>
      <w:r>
        <w:t>拷贝数：</w:t>
      </w:r>
      <w:r>
        <w:rPr>
          <w:rFonts w:hint="eastAsia"/>
        </w:rPr>
        <w:t>检测肺组织</w:t>
      </w:r>
      <w:r>
        <w:t>中</w:t>
      </w:r>
      <w:r>
        <w:rPr>
          <w:rFonts w:hint="eastAsia"/>
        </w:rPr>
        <w:t>病原基因组载量。</w:t>
      </w:r>
    </w:p>
    <w:p w14:paraId="6086A31B">
      <w:pPr>
        <w:spacing w:line="276" w:lineRule="auto"/>
      </w:pPr>
      <w:r>
        <w:rPr>
          <w:rFonts w:hint="eastAsia" w:ascii="黑体" w:hAnsi="黑体" w:eastAsia="黑体" w:cs="黑体"/>
        </w:rPr>
        <w:t xml:space="preserve">5.2.2  </w:t>
      </w:r>
      <w:r>
        <w:rPr>
          <w:rFonts w:hint="eastAsia"/>
        </w:rPr>
        <w:t>具有感染活性的</w:t>
      </w:r>
      <w:r>
        <w:t>病原数的检测：</w:t>
      </w:r>
      <w:r>
        <w:rPr>
          <w:rFonts w:hint="eastAsia"/>
        </w:rPr>
        <w:t>分析肺组织中</w:t>
      </w:r>
      <w:r>
        <w:t>具有感染性</w:t>
      </w:r>
      <w:r>
        <w:rPr>
          <w:rFonts w:hint="eastAsia"/>
        </w:rPr>
        <w:t>病原</w:t>
      </w:r>
      <w:r>
        <w:t>的数量。</w:t>
      </w:r>
    </w:p>
    <w:p w14:paraId="0C648549">
      <w:pPr>
        <w:pStyle w:val="62"/>
        <w:numPr>
          <w:ilvl w:val="1"/>
          <w:numId w:val="0"/>
        </w:numPr>
        <w:spacing w:before="313" w:beforeLines="100" w:after="313" w:afterLines="100" w:line="276" w:lineRule="auto"/>
        <w:jc w:val="both"/>
        <w:rPr>
          <w:rFonts w:hAnsi="黑体" w:cs="黑体"/>
        </w:rPr>
      </w:pPr>
      <w:bookmarkStart w:id="28" w:name="_Toc186818480"/>
      <w:bookmarkStart w:id="29" w:name="_Toc184293569"/>
      <w:r>
        <w:rPr>
          <w:rFonts w:hint="eastAsia" w:hAnsi="黑体" w:cs="黑体"/>
        </w:rPr>
        <w:t>5.3  组织损伤</w:t>
      </w:r>
      <w:bookmarkEnd w:id="28"/>
      <w:bookmarkEnd w:id="29"/>
    </w:p>
    <w:p w14:paraId="01974593">
      <w:pPr>
        <w:spacing w:line="276" w:lineRule="auto"/>
      </w:pPr>
      <w:r>
        <w:rPr>
          <w:rFonts w:hint="eastAsia" w:ascii="黑体" w:hAnsi="黑体" w:eastAsia="黑体" w:cs="黑体"/>
        </w:rPr>
        <w:t xml:space="preserve">5.3.1  </w:t>
      </w:r>
      <w:r>
        <w:t>大体病理学观察：观察肺脏的外观、质地、出血、坏死等情况。</w:t>
      </w:r>
    </w:p>
    <w:p w14:paraId="4F0BE55B">
      <w:pPr>
        <w:spacing w:line="276" w:lineRule="auto"/>
      </w:pPr>
      <w:r>
        <w:rPr>
          <w:rFonts w:hint="eastAsia" w:ascii="黑体" w:hAnsi="黑体" w:eastAsia="黑体" w:cs="黑体"/>
        </w:rPr>
        <w:t xml:space="preserve">5.3.2  </w:t>
      </w:r>
      <w:r>
        <w:t>组织病理学：</w:t>
      </w:r>
      <w:r>
        <w:rPr>
          <w:rFonts w:hint="eastAsia"/>
        </w:rPr>
        <w:t>组织学变化是急性肺损伤最相关的特征，主要包括： 肺泡间隔增厚、肺泡腔充满水肿液、 透明膜形成、坏死细胞碎片、肺泡上皮/</w:t>
      </w:r>
      <w:r>
        <w:t>支气管上皮</w:t>
      </w:r>
      <w:r>
        <w:rPr>
          <w:rFonts w:hint="eastAsia"/>
        </w:rPr>
        <w:t>/血管内皮细胞损伤（包括细胞死亡、剥脱或</w:t>
      </w:r>
      <w:r>
        <w:t>增殖）</w:t>
      </w:r>
      <w:r>
        <w:rPr>
          <w:rFonts w:hint="eastAsia"/>
        </w:rPr>
        <w:t>以及炎性细胞浸润。</w:t>
      </w:r>
    </w:p>
    <w:p w14:paraId="5439F37A">
      <w:pPr>
        <w:pStyle w:val="62"/>
        <w:numPr>
          <w:ilvl w:val="1"/>
          <w:numId w:val="0"/>
        </w:numPr>
        <w:spacing w:before="313" w:beforeLines="100" w:after="313" w:afterLines="100" w:line="276" w:lineRule="auto"/>
        <w:jc w:val="both"/>
        <w:rPr>
          <w:rFonts w:hAnsi="黑体" w:cs="黑体"/>
        </w:rPr>
      </w:pPr>
      <w:bookmarkStart w:id="30" w:name="_Toc186818481"/>
      <w:bookmarkStart w:id="31" w:name="_Toc184293570"/>
      <w:r>
        <w:rPr>
          <w:rFonts w:hint="eastAsia" w:hAnsi="黑体" w:cs="黑体"/>
        </w:rPr>
        <w:t>5.4  肺泡-毛细血管屏障损伤</w:t>
      </w:r>
      <w:bookmarkEnd w:id="30"/>
      <w:bookmarkEnd w:id="31"/>
    </w:p>
    <w:p w14:paraId="3B5CF344">
      <w:pPr>
        <w:spacing w:line="276" w:lineRule="auto"/>
      </w:pPr>
      <w:r>
        <w:rPr>
          <w:rFonts w:hint="eastAsia" w:ascii="黑体" w:hAnsi="黑体" w:eastAsia="黑体" w:cs="黑体"/>
        </w:rPr>
        <w:t xml:space="preserve">5.4.1 </w:t>
      </w:r>
      <w:r>
        <w:rPr>
          <w:rFonts w:hint="eastAsia" w:eastAsia="黑体" w:cs="黑体"/>
        </w:rPr>
        <w:t xml:space="preserve"> </w:t>
      </w:r>
      <w:r>
        <w:rPr>
          <w:rFonts w:hint="eastAsia"/>
        </w:rPr>
        <w:t>BALF中蛋白</w:t>
      </w:r>
      <w:r>
        <w:t>含量</w:t>
      </w:r>
      <w:r>
        <w:rPr>
          <w:rFonts w:hint="eastAsia"/>
        </w:rPr>
        <w:t>增加。</w:t>
      </w:r>
    </w:p>
    <w:p w14:paraId="538DB628">
      <w:pPr>
        <w:spacing w:line="276" w:lineRule="auto"/>
      </w:pPr>
      <w:r>
        <w:rPr>
          <w:rFonts w:hint="eastAsia" w:ascii="黑体" w:hAnsi="黑体" w:eastAsia="黑体" w:cs="黑体"/>
        </w:rPr>
        <w:t xml:space="preserve">5.4.2  </w:t>
      </w:r>
      <w:r>
        <w:rPr>
          <w:rFonts w:hint="eastAsia"/>
        </w:rPr>
        <w:t>肺湿</w:t>
      </w:r>
      <w:r>
        <w:t>/</w:t>
      </w:r>
      <w:r>
        <w:rPr>
          <w:rFonts w:hint="eastAsia"/>
        </w:rPr>
        <w:t>干重比增加。</w:t>
      </w:r>
    </w:p>
    <w:p w14:paraId="314B59D4">
      <w:pPr>
        <w:spacing w:line="276" w:lineRule="auto"/>
      </w:pPr>
      <w:r>
        <w:rPr>
          <w:rFonts w:hint="eastAsia" w:ascii="黑体" w:hAnsi="黑体" w:eastAsia="黑体" w:cs="黑体"/>
        </w:rPr>
        <w:t xml:space="preserve">5.4.3  </w:t>
      </w:r>
      <w:r>
        <w:rPr>
          <w:rFonts w:hint="eastAsia"/>
        </w:rPr>
        <w:t>肺泡出血和</w:t>
      </w:r>
      <w:r>
        <w:t>/或出现红细胞</w:t>
      </w:r>
      <w:r>
        <w:rPr>
          <w:rFonts w:hint="eastAsia"/>
        </w:rPr>
        <w:t>。</w:t>
      </w:r>
    </w:p>
    <w:p w14:paraId="0ED5FD2B">
      <w:pPr>
        <w:spacing w:line="276" w:lineRule="auto"/>
        <w:ind w:left="717" w:leftChars="170" w:hanging="360" w:hangingChars="200"/>
        <w:rPr>
          <w:rFonts w:ascii="黑体" w:hAnsi="黑体" w:eastAsia="黑体" w:cs="黑体"/>
          <w:bCs/>
          <w:sz w:val="18"/>
          <w:szCs w:val="18"/>
        </w:rPr>
      </w:pPr>
      <w:r>
        <w:rPr>
          <w:rFonts w:hint="eastAsia" w:ascii="黑体" w:hAnsi="黑体" w:eastAsia="黑体" w:cs="黑体"/>
          <w:bCs/>
          <w:sz w:val="18"/>
          <w:szCs w:val="18"/>
        </w:rPr>
        <w:t>注：</w:t>
      </w:r>
      <w:r>
        <w:rPr>
          <w:rFonts w:hint="eastAsia" w:ascii="宋体" w:hAnsi="宋体" w:cs="宋体"/>
          <w:bCs/>
          <w:sz w:val="18"/>
          <w:szCs w:val="18"/>
        </w:rPr>
        <w:t>由于感染性动物BALF及肺干重获取过程中会加大生物安全风险，可根据实验目的和条件选择性开展。</w:t>
      </w:r>
    </w:p>
    <w:p w14:paraId="479837F6">
      <w:pPr>
        <w:pStyle w:val="62"/>
        <w:numPr>
          <w:ilvl w:val="1"/>
          <w:numId w:val="0"/>
        </w:numPr>
        <w:spacing w:before="313" w:beforeLines="100" w:after="313" w:afterLines="100" w:line="276" w:lineRule="auto"/>
        <w:jc w:val="both"/>
        <w:rPr>
          <w:rFonts w:hAnsi="黑体" w:cs="黑体"/>
        </w:rPr>
      </w:pPr>
      <w:bookmarkStart w:id="32" w:name="_Toc186818482"/>
      <w:bookmarkStart w:id="33" w:name="_Toc184293571"/>
      <w:r>
        <w:rPr>
          <w:rFonts w:hint="eastAsia" w:hAnsi="黑体" w:cs="黑体"/>
        </w:rPr>
        <w:t>5.5  存在炎症反应</w:t>
      </w:r>
      <w:bookmarkEnd w:id="32"/>
      <w:bookmarkEnd w:id="33"/>
    </w:p>
    <w:p w14:paraId="7D2CB607">
      <w:pPr>
        <w:spacing w:line="276" w:lineRule="auto"/>
      </w:pPr>
      <w:r>
        <w:rPr>
          <w:rFonts w:hint="eastAsia" w:ascii="黑体" w:hAnsi="黑体" w:eastAsia="黑体" w:cs="黑体"/>
        </w:rPr>
        <w:t xml:space="preserve">5.5.1  </w:t>
      </w:r>
      <w:r>
        <w:t>BALF</w:t>
      </w:r>
      <w:r>
        <w:rPr>
          <w:rFonts w:hint="eastAsia"/>
        </w:rPr>
        <w:t>或</w:t>
      </w:r>
      <w:r>
        <w:t>肺组织</w:t>
      </w:r>
      <w:r>
        <w:rPr>
          <w:rFonts w:hint="eastAsia"/>
        </w:rPr>
        <w:t>中趋化因子或细胞因子增加。</w:t>
      </w:r>
    </w:p>
    <w:p w14:paraId="204D916F">
      <w:pPr>
        <w:spacing w:line="276" w:lineRule="auto"/>
      </w:pPr>
      <w:r>
        <w:rPr>
          <w:rFonts w:hint="eastAsia" w:ascii="黑体" w:hAnsi="黑体" w:eastAsia="黑体" w:cs="黑体"/>
        </w:rPr>
        <w:t xml:space="preserve">5.5.2  </w:t>
      </w:r>
      <w:r>
        <w:t>BALF</w:t>
      </w:r>
      <w:r>
        <w:rPr>
          <w:rFonts w:hint="eastAsia"/>
        </w:rPr>
        <w:t>或</w:t>
      </w:r>
      <w:r>
        <w:t>肺组织中</w:t>
      </w:r>
      <w:r>
        <w:rPr>
          <w:rFonts w:hint="eastAsia"/>
        </w:rPr>
        <w:t>淋巴、单核或巨噬细胞，以及中性粒细胞数量增加。</w:t>
      </w:r>
    </w:p>
    <w:p w14:paraId="09915FAF">
      <w:pPr>
        <w:spacing w:line="276" w:lineRule="auto"/>
        <w:ind w:left="717" w:leftChars="170" w:hanging="360" w:hangingChars="200"/>
        <w:rPr>
          <w:rFonts w:ascii="宋体" w:hAnsi="宋体" w:cs="宋体"/>
          <w:sz w:val="18"/>
          <w:szCs w:val="18"/>
        </w:rPr>
      </w:pPr>
      <w:r>
        <w:rPr>
          <w:rFonts w:hint="eastAsia" w:ascii="黑体" w:hAnsi="黑体" w:eastAsia="黑体" w:cs="黑体"/>
          <w:bCs/>
          <w:sz w:val="18"/>
          <w:szCs w:val="18"/>
        </w:rPr>
        <w:t>注：</w:t>
      </w:r>
      <w:r>
        <w:rPr>
          <w:rFonts w:hint="eastAsia" w:ascii="宋体" w:hAnsi="宋体" w:cs="宋体"/>
          <w:sz w:val="18"/>
          <w:szCs w:val="18"/>
        </w:rPr>
        <w:t>由于感染性动物BALF采集过程中会加大生物安全风险，可根据实验目的和条件选择性开展BALF中相关炎症指标的检测。</w:t>
      </w:r>
    </w:p>
    <w:p w14:paraId="4C5A7E62">
      <w:pPr>
        <w:pStyle w:val="62"/>
        <w:numPr>
          <w:ilvl w:val="1"/>
          <w:numId w:val="0"/>
        </w:numPr>
        <w:spacing w:before="313" w:beforeLines="100" w:after="313" w:afterLines="100" w:line="276" w:lineRule="auto"/>
        <w:jc w:val="both"/>
        <w:rPr>
          <w:rFonts w:hAnsi="黑体" w:cs="黑体"/>
        </w:rPr>
      </w:pPr>
      <w:bookmarkStart w:id="34" w:name="_Toc186818483"/>
      <w:bookmarkStart w:id="35" w:name="_Toc184293572"/>
      <w:r>
        <w:rPr>
          <w:rFonts w:hint="eastAsia" w:hAnsi="黑体" w:cs="黑体"/>
        </w:rPr>
        <w:t>5.6  肺生理功能障碍</w:t>
      </w:r>
      <w:bookmarkEnd w:id="34"/>
      <w:bookmarkEnd w:id="35"/>
    </w:p>
    <w:p w14:paraId="5665CC9A">
      <w:pPr>
        <w:spacing w:before="156" w:beforeLines="50" w:after="156" w:afterLines="50" w:line="276" w:lineRule="auto"/>
        <w:rPr>
          <w:rFonts w:ascii="黑体" w:hAnsi="黑体" w:eastAsia="黑体" w:cs="黑体"/>
          <w:bCs/>
        </w:rPr>
      </w:pPr>
      <w:bookmarkStart w:id="36" w:name="_Toc184293573"/>
      <w:r>
        <w:rPr>
          <w:rFonts w:hint="eastAsia" w:ascii="黑体" w:hAnsi="黑体" w:eastAsia="黑体" w:cs="黑体"/>
          <w:bCs/>
        </w:rPr>
        <w:t>5.6.1  临床观察指标</w:t>
      </w:r>
      <w:bookmarkEnd w:id="36"/>
    </w:p>
    <w:p w14:paraId="772A6554">
      <w:pPr>
        <w:spacing w:line="276" w:lineRule="auto"/>
      </w:pPr>
      <w:r>
        <w:rPr>
          <w:rFonts w:hint="eastAsia" w:ascii="黑体" w:hAnsi="黑体" w:eastAsia="黑体" w:cs="黑体"/>
        </w:rPr>
        <w:t xml:space="preserve">5.6.1.1  </w:t>
      </w:r>
      <w:r>
        <w:rPr>
          <w:rFonts w:hint="eastAsia"/>
        </w:rPr>
        <w:t>体重变化</w:t>
      </w:r>
      <w:r>
        <w:t>：</w:t>
      </w:r>
      <w:r>
        <w:rPr>
          <w:rFonts w:hint="eastAsia"/>
        </w:rPr>
        <w:t>监测动物</w:t>
      </w:r>
      <w:r>
        <w:t>体重</w:t>
      </w:r>
      <w:r>
        <w:rPr>
          <w:rFonts w:hint="eastAsia"/>
        </w:rPr>
        <w:t>。</w:t>
      </w:r>
    </w:p>
    <w:p w14:paraId="08182C68">
      <w:pPr>
        <w:spacing w:line="276" w:lineRule="auto"/>
      </w:pPr>
      <w:r>
        <w:rPr>
          <w:rFonts w:hint="eastAsia" w:ascii="黑体" w:hAnsi="黑体" w:eastAsia="黑体" w:cs="黑体"/>
        </w:rPr>
        <w:t xml:space="preserve">5.6.1.2  </w:t>
      </w:r>
      <w:r>
        <w:rPr>
          <w:rFonts w:hint="eastAsia"/>
        </w:rPr>
        <w:t>运动状态</w:t>
      </w:r>
      <w:r>
        <w:t>：记录</w:t>
      </w:r>
      <w:r>
        <w:rPr>
          <w:rFonts w:hint="eastAsia"/>
        </w:rPr>
        <w:t>动物</w:t>
      </w:r>
      <w:r>
        <w:t>活动状态</w:t>
      </w:r>
      <w:r>
        <w:rPr>
          <w:rFonts w:hint="eastAsia"/>
        </w:rPr>
        <w:t>。</w:t>
      </w:r>
    </w:p>
    <w:p w14:paraId="5B29AE37">
      <w:pPr>
        <w:spacing w:before="156" w:beforeLines="50" w:after="156" w:afterLines="50" w:line="276" w:lineRule="auto"/>
        <w:rPr>
          <w:rFonts w:ascii="黑体" w:hAnsi="黑体" w:eastAsia="黑体" w:cs="黑体"/>
          <w:bCs/>
        </w:rPr>
      </w:pPr>
      <w:bookmarkStart w:id="37" w:name="_Toc184293575"/>
      <w:r>
        <w:rPr>
          <w:rFonts w:hint="eastAsia" w:ascii="黑体" w:hAnsi="黑体" w:eastAsia="黑体" w:cs="黑体"/>
          <w:bCs/>
        </w:rPr>
        <w:t>5.6.2  肺生理功能指标</w:t>
      </w:r>
      <w:bookmarkEnd w:id="37"/>
    </w:p>
    <w:p w14:paraId="0C6FB643">
      <w:pPr>
        <w:spacing w:line="276" w:lineRule="auto"/>
      </w:pPr>
      <w:r>
        <w:rPr>
          <w:rFonts w:hint="eastAsia" w:ascii="黑体" w:hAnsi="黑体" w:eastAsia="黑体" w:cs="黑体"/>
        </w:rPr>
        <w:t xml:space="preserve">5.6.2.1  </w:t>
      </w:r>
      <w:r>
        <w:t>一般指标</w:t>
      </w:r>
      <w:r>
        <w:rPr>
          <w:rFonts w:hint="eastAsia"/>
        </w:rPr>
        <w:t>：</w:t>
      </w:r>
      <w:r>
        <w:t>吸气时间</w:t>
      </w:r>
      <w:r>
        <w:rPr>
          <w:rFonts w:hint="eastAsia"/>
        </w:rPr>
        <w:t>、</w:t>
      </w:r>
      <w:r>
        <w:t>呼气时间</w:t>
      </w:r>
      <w:r>
        <w:rPr>
          <w:rFonts w:hint="eastAsia"/>
        </w:rPr>
        <w:t>、</w:t>
      </w:r>
      <w:r>
        <w:t>呼气峰值时间比率</w:t>
      </w:r>
      <w:r>
        <w:rPr>
          <w:rFonts w:hint="eastAsia"/>
        </w:rPr>
        <w:t>、</w:t>
      </w:r>
      <w:r>
        <w:t>吸气末暂停</w:t>
      </w:r>
      <w:r>
        <w:rPr>
          <w:rFonts w:hint="eastAsia"/>
        </w:rPr>
        <w:t>、</w:t>
      </w:r>
      <w:r>
        <w:t>呼气末暂停</w:t>
      </w:r>
      <w:r>
        <w:rPr>
          <w:rFonts w:hint="eastAsia"/>
        </w:rPr>
        <w:t>。</w:t>
      </w:r>
    </w:p>
    <w:p w14:paraId="0AC961D3">
      <w:pPr>
        <w:spacing w:line="276" w:lineRule="auto"/>
      </w:pPr>
      <w:r>
        <w:rPr>
          <w:rFonts w:hint="eastAsia" w:ascii="黑体" w:hAnsi="黑体" w:eastAsia="黑体" w:cs="黑体"/>
        </w:rPr>
        <w:t xml:space="preserve">5.6.2.2  </w:t>
      </w:r>
      <w:r>
        <w:t>肺容积指标</w:t>
      </w:r>
      <w:r>
        <w:rPr>
          <w:rFonts w:hint="eastAsia"/>
        </w:rPr>
        <w:t>：</w:t>
      </w:r>
      <w:r>
        <w:t>潮气量</w:t>
      </w:r>
      <w:r>
        <w:rPr>
          <w:rFonts w:hint="eastAsia"/>
        </w:rPr>
        <w:t>。</w:t>
      </w:r>
    </w:p>
    <w:p w14:paraId="2B8964E7">
      <w:pPr>
        <w:spacing w:line="276" w:lineRule="auto"/>
      </w:pPr>
      <w:r>
        <w:rPr>
          <w:rFonts w:hint="eastAsia" w:ascii="黑体" w:hAnsi="黑体" w:eastAsia="黑体" w:cs="黑体"/>
        </w:rPr>
        <w:t xml:space="preserve">5.6.2.3  </w:t>
      </w:r>
      <w:r>
        <w:t>传导性指标</w:t>
      </w:r>
      <w:r>
        <w:rPr>
          <w:rFonts w:hint="eastAsia"/>
        </w:rPr>
        <w:t>：</w:t>
      </w:r>
      <w:r>
        <w:t>最大吸气流速</w:t>
      </w:r>
      <w:r>
        <w:rPr>
          <w:rFonts w:hint="eastAsia"/>
        </w:rPr>
        <w:t>、</w:t>
      </w:r>
      <w:r>
        <w:t>最大呼气流速</w:t>
      </w:r>
      <w:r>
        <w:rPr>
          <w:rFonts w:hint="eastAsia"/>
        </w:rPr>
        <w:t>。</w:t>
      </w:r>
    </w:p>
    <w:p w14:paraId="125A5EE1">
      <w:pPr>
        <w:spacing w:line="276" w:lineRule="auto"/>
      </w:pPr>
      <w:r>
        <w:rPr>
          <w:rFonts w:hint="eastAsia" w:ascii="黑体" w:hAnsi="黑体" w:eastAsia="黑体" w:cs="黑体"/>
        </w:rPr>
        <w:t xml:space="preserve">5.6.2.4  </w:t>
      </w:r>
      <w:r>
        <w:t>气道阻塞指标包括</w:t>
      </w:r>
      <w:r>
        <w:rPr>
          <w:rFonts w:hint="eastAsia"/>
        </w:rPr>
        <w:t>：</w:t>
      </w:r>
      <w:r>
        <w:t>呼气中期流速</w:t>
      </w:r>
      <w:r>
        <w:rPr>
          <w:rFonts w:hint="eastAsia"/>
        </w:rPr>
        <w:t>、</w:t>
      </w:r>
      <w:r>
        <w:t>呼吸暂停</w:t>
      </w:r>
      <w:r>
        <w:rPr>
          <w:rFonts w:hint="eastAsia"/>
        </w:rPr>
        <w:t>、</w:t>
      </w:r>
      <w:r>
        <w:t>松弛时间</w:t>
      </w:r>
      <w:r>
        <w:rPr>
          <w:rFonts w:hint="eastAsia"/>
        </w:rPr>
        <w:t>、</w:t>
      </w:r>
      <w:r>
        <w:t>气道狭窄指数</w:t>
      </w:r>
      <w:r>
        <w:rPr>
          <w:rFonts w:hint="eastAsia"/>
        </w:rPr>
        <w:t>。</w:t>
      </w:r>
    </w:p>
    <w:p w14:paraId="728AF98C">
      <w:pPr>
        <w:spacing w:line="276" w:lineRule="auto"/>
      </w:pPr>
      <w:r>
        <w:rPr>
          <w:rFonts w:hint="eastAsia" w:ascii="黑体" w:hAnsi="黑体" w:eastAsia="黑体" w:cs="黑体"/>
        </w:rPr>
        <w:t xml:space="preserve">5.6.2.5  </w:t>
      </w:r>
      <w:r>
        <w:t>通气指标</w:t>
      </w:r>
      <w:r>
        <w:rPr>
          <w:rFonts w:hint="eastAsia"/>
        </w:rPr>
        <w:t>：</w:t>
      </w:r>
      <w:r>
        <w:t>呼吸频率</w:t>
      </w:r>
      <w:r>
        <w:rPr>
          <w:rFonts w:hint="eastAsia"/>
        </w:rPr>
        <w:t>和</w:t>
      </w:r>
      <w:r>
        <w:t>每分钟通气量</w:t>
      </w:r>
      <w:r>
        <w:rPr>
          <w:rFonts w:hint="eastAsia"/>
        </w:rPr>
        <w:t>，</w:t>
      </w:r>
      <w:r>
        <w:t>肺通气不足</w:t>
      </w:r>
      <w:r>
        <w:rPr>
          <w:rFonts w:hint="eastAsia"/>
        </w:rPr>
        <w:t>时</w:t>
      </w:r>
      <w:r>
        <w:t>，</w:t>
      </w:r>
      <w:r>
        <w:rPr>
          <w:rFonts w:hint="eastAsia"/>
        </w:rPr>
        <w:t>每分钟通气量</w:t>
      </w:r>
      <w:r>
        <w:t>减少</w:t>
      </w:r>
      <w:r>
        <w:rPr>
          <w:rFonts w:hint="eastAsia"/>
        </w:rPr>
        <w:t>且</w:t>
      </w:r>
      <w:r>
        <w:t>呼吸频率增快</w:t>
      </w:r>
      <w:r>
        <w:rPr>
          <w:rFonts w:hint="eastAsia"/>
        </w:rPr>
        <w:t>。</w:t>
      </w:r>
    </w:p>
    <w:p w14:paraId="7747EFA8">
      <w:pPr>
        <w:spacing w:line="276" w:lineRule="auto"/>
        <w:ind w:left="717" w:leftChars="170" w:hanging="360" w:hangingChars="200"/>
        <w:rPr>
          <w:rFonts w:ascii="宋体" w:hAnsi="宋体" w:cs="宋体"/>
          <w:bCs/>
          <w:sz w:val="18"/>
          <w:szCs w:val="18"/>
        </w:rPr>
      </w:pPr>
      <w:r>
        <w:rPr>
          <w:rFonts w:hint="eastAsia" w:ascii="黑体" w:hAnsi="黑体" w:eastAsia="黑体" w:cs="黑体"/>
          <w:bCs/>
          <w:sz w:val="18"/>
          <w:szCs w:val="18"/>
        </w:rPr>
        <w:t>注：</w:t>
      </w:r>
      <w:r>
        <w:rPr>
          <w:rFonts w:hint="eastAsia" w:ascii="宋体" w:hAnsi="宋体" w:cs="宋体"/>
          <w:bCs/>
          <w:sz w:val="18"/>
          <w:szCs w:val="18"/>
        </w:rPr>
        <w:t>肺生理功能指标对肺损伤程度的评价十分重要，但是受实验动物的大小和生物安全实验内设备的限制，检测成本及生物风险高，因此不是必不可少的指标，可根据实验目的和条件选择性开展。</w:t>
      </w:r>
    </w:p>
    <w:p w14:paraId="59122DE1">
      <w:pPr>
        <w:spacing w:before="156" w:beforeLines="50" w:after="156" w:afterLines="50" w:line="276" w:lineRule="auto"/>
        <w:rPr>
          <w:rFonts w:ascii="黑体" w:hAnsi="黑体" w:eastAsia="黑体" w:cs="黑体"/>
          <w:bCs/>
        </w:rPr>
      </w:pPr>
      <w:bookmarkStart w:id="38" w:name="_Toc184293576"/>
      <w:r>
        <w:rPr>
          <w:rFonts w:hint="eastAsia" w:ascii="黑体" w:hAnsi="黑体" w:eastAsia="黑体" w:cs="黑体"/>
          <w:bCs/>
        </w:rPr>
        <w:t>5.6.3  影像学检查指标</w:t>
      </w:r>
      <w:bookmarkEnd w:id="38"/>
    </w:p>
    <w:p w14:paraId="3C2E7019">
      <w:pPr>
        <w:spacing w:line="276" w:lineRule="auto"/>
        <w:ind w:firstLine="420" w:firstLineChars="200"/>
      </w:pPr>
      <w:r>
        <w:t>X 射线或 CT 检查：观察肺部阴影的范围、密度等。</w:t>
      </w:r>
    </w:p>
    <w:p w14:paraId="37359E00">
      <w:pPr>
        <w:spacing w:line="276" w:lineRule="auto"/>
        <w:ind w:left="717" w:leftChars="170" w:hanging="360" w:hangingChars="200"/>
        <w:rPr>
          <w:rFonts w:ascii="宋体" w:hAnsi="宋体" w:cs="宋体"/>
          <w:bCs/>
          <w:sz w:val="18"/>
          <w:szCs w:val="18"/>
        </w:rPr>
      </w:pPr>
      <w:r>
        <w:rPr>
          <w:rFonts w:hint="eastAsia" w:ascii="黑体" w:hAnsi="黑体" w:eastAsia="黑体" w:cs="黑体"/>
          <w:bCs/>
          <w:sz w:val="18"/>
          <w:szCs w:val="18"/>
        </w:rPr>
        <w:t>注：</w:t>
      </w:r>
      <w:r>
        <w:rPr>
          <w:rFonts w:hint="eastAsia" w:ascii="宋体" w:hAnsi="宋体" w:cs="宋体"/>
          <w:bCs/>
          <w:sz w:val="18"/>
          <w:szCs w:val="18"/>
        </w:rPr>
        <w:t>在ALI动物模型中常采用X线及CT评价，但是受实验动物的大小和生物安全实验内设备的限制，检测成本及生物风险均较高，可根据实验目的和条件选择性开展。</w:t>
      </w:r>
    </w:p>
    <w:p w14:paraId="3959D834">
      <w:pPr>
        <w:pStyle w:val="81"/>
        <w:spacing w:before="313" w:after="313" w:line="276" w:lineRule="auto"/>
        <w:ind w:left="0"/>
        <w:rPr>
          <w:rFonts w:ascii="Times New Roman"/>
          <w:szCs w:val="21"/>
        </w:rPr>
      </w:pPr>
      <w:bookmarkStart w:id="39" w:name="_Toc184293577"/>
      <w:bookmarkStart w:id="40" w:name="_Toc181626912"/>
      <w:bookmarkStart w:id="41" w:name="_Toc186818484"/>
      <w:r>
        <w:rPr>
          <w:rFonts w:hint="eastAsia" w:ascii="Times New Roman"/>
          <w:szCs w:val="21"/>
        </w:rPr>
        <w:t>评价方法</w:t>
      </w:r>
      <w:bookmarkEnd w:id="39"/>
      <w:bookmarkEnd w:id="40"/>
      <w:bookmarkEnd w:id="41"/>
    </w:p>
    <w:p w14:paraId="6528500B">
      <w:pPr>
        <w:pStyle w:val="62"/>
        <w:numPr>
          <w:ilvl w:val="1"/>
          <w:numId w:val="0"/>
        </w:numPr>
        <w:spacing w:before="313" w:beforeLines="100" w:after="313" w:afterLines="100" w:line="276" w:lineRule="auto"/>
        <w:jc w:val="both"/>
        <w:rPr>
          <w:rFonts w:hAnsi="黑体" w:cs="黑体"/>
        </w:rPr>
      </w:pPr>
      <w:bookmarkStart w:id="42" w:name="_Toc186818485"/>
      <w:bookmarkStart w:id="43" w:name="_Toc184293583"/>
      <w:r>
        <w:rPr>
          <w:rFonts w:hint="eastAsia" w:hAnsi="黑体" w:cs="黑体"/>
        </w:rPr>
        <w:t>6.1  病原数量检测</w:t>
      </w:r>
      <w:bookmarkEnd w:id="42"/>
      <w:bookmarkEnd w:id="43"/>
    </w:p>
    <w:p w14:paraId="3AF49FF0">
      <w:pPr>
        <w:spacing w:line="276" w:lineRule="auto"/>
      </w:pPr>
      <w:r>
        <w:rPr>
          <w:rFonts w:hint="eastAsia" w:ascii="黑体" w:hAnsi="黑体" w:eastAsia="黑体" w:cs="黑体"/>
        </w:rPr>
        <w:t xml:space="preserve">6.1.1  </w:t>
      </w:r>
      <w:r>
        <w:rPr>
          <w:rFonts w:hint="eastAsia"/>
        </w:rPr>
        <w:t>病原基因组</w:t>
      </w:r>
      <w:r>
        <w:t>拷贝数</w:t>
      </w:r>
      <w:r>
        <w:rPr>
          <w:rFonts w:hint="eastAsia"/>
        </w:rPr>
        <w:t>分析</w:t>
      </w:r>
      <w:r>
        <w:t>：</w:t>
      </w:r>
      <w:r>
        <w:rPr>
          <w:rFonts w:hint="eastAsia"/>
        </w:rPr>
        <w:t>可取右肺用PBS研磨</w:t>
      </w:r>
      <w:r>
        <w:t>后</w:t>
      </w:r>
      <w:r>
        <w:rPr>
          <w:rFonts w:hint="eastAsia"/>
        </w:rPr>
        <w:t>，进行DNA或RNA的</w:t>
      </w:r>
      <w:r>
        <w:t>提取，</w:t>
      </w:r>
      <w:r>
        <w:rPr>
          <w:rFonts w:hint="eastAsia"/>
        </w:rPr>
        <w:t>组织预处理参考GB/T 33681.1 的说明，采用常规方法提取肺中的DNA和RNA，通过</w:t>
      </w:r>
      <w:r>
        <w:t>荧光定量</w:t>
      </w:r>
      <w:r>
        <w:rPr>
          <w:rFonts w:hint="eastAsia"/>
        </w:rPr>
        <w:t>PCR（RT-</w:t>
      </w:r>
      <w:r>
        <w:t>qPCR</w:t>
      </w:r>
      <w:r>
        <w:rPr>
          <w:rFonts w:hint="eastAsia"/>
        </w:rPr>
        <w:t>）检测病原基因载量。动物组织中DNA/RNA 提取及</w:t>
      </w:r>
      <w:r>
        <w:t>检测</w:t>
      </w:r>
      <w:r>
        <w:rPr>
          <w:rFonts w:hint="eastAsia"/>
        </w:rPr>
        <w:t>的方法可参考附录</w:t>
      </w:r>
      <w:r>
        <w:t xml:space="preserve"> A</w:t>
      </w:r>
      <w:r>
        <w:rPr>
          <w:rFonts w:hint="eastAsia"/>
        </w:rPr>
        <w:t>和</w:t>
      </w:r>
      <w:r>
        <w:t>B</w:t>
      </w:r>
      <w:r>
        <w:rPr>
          <w:rFonts w:hint="eastAsia"/>
        </w:rPr>
        <w:t>。</w:t>
      </w:r>
    </w:p>
    <w:p w14:paraId="6357512E">
      <w:pPr>
        <w:spacing w:line="276" w:lineRule="auto"/>
      </w:pPr>
      <w:r>
        <w:rPr>
          <w:rFonts w:hint="eastAsia" w:ascii="黑体" w:hAnsi="黑体" w:eastAsia="黑体" w:cs="黑体"/>
        </w:rPr>
        <w:t xml:space="preserve">6.1.2  </w:t>
      </w:r>
      <w:r>
        <w:rPr>
          <w:rFonts w:hint="eastAsia"/>
        </w:rPr>
        <w:t>具有感染活性的</w:t>
      </w:r>
      <w:r>
        <w:t>病原数的检测：</w:t>
      </w:r>
      <w:r>
        <w:rPr>
          <w:rFonts w:hint="eastAsia"/>
        </w:rPr>
        <w:t>针对</w:t>
      </w:r>
      <w:r>
        <w:t>不同的病原</w:t>
      </w:r>
      <w:r>
        <w:rPr>
          <w:rFonts w:hint="eastAsia"/>
        </w:rPr>
        <w:t>采用</w:t>
      </w:r>
      <w:r>
        <w:t>不同的方法进行检测，如</w:t>
      </w:r>
      <w:r>
        <w:rPr>
          <w:rFonts w:hint="eastAsia"/>
        </w:rPr>
        <w:t>针对</w:t>
      </w:r>
      <w:r>
        <w:t>病毒感染，</w:t>
      </w:r>
      <w:r>
        <w:rPr>
          <w:rFonts w:hint="eastAsia"/>
        </w:rPr>
        <w:t>可取右肺用PBS研磨</w:t>
      </w:r>
      <w:r>
        <w:t>后，离心取上清，将上清接种</w:t>
      </w:r>
      <w:r>
        <w:rPr>
          <w:rFonts w:hint="eastAsia"/>
        </w:rPr>
        <w:t>病毒</w:t>
      </w:r>
      <w:r>
        <w:t>敏感细胞</w:t>
      </w:r>
      <w:r>
        <w:rPr>
          <w:rFonts w:hint="eastAsia"/>
        </w:rPr>
        <w:t>，</w:t>
      </w:r>
      <w:r>
        <w:t>测定肺组织中</w:t>
      </w:r>
      <w:r>
        <w:rPr>
          <w:rFonts w:hint="eastAsia"/>
        </w:rPr>
        <w:t>具有</w:t>
      </w:r>
      <w:r>
        <w:t>感染性病毒的滴度</w:t>
      </w:r>
      <w:r>
        <w:rPr>
          <w:rFonts w:hint="eastAsia"/>
        </w:rPr>
        <w:t>，滴度测定</w:t>
      </w:r>
      <w:r>
        <w:t>方法</w:t>
      </w:r>
      <w:r>
        <w:rPr>
          <w:rFonts w:hint="eastAsia"/>
        </w:rPr>
        <w:t>参考</w:t>
      </w:r>
      <w:r>
        <w:t>附录C。</w:t>
      </w:r>
      <w:r>
        <w:rPr>
          <w:rFonts w:hint="eastAsia"/>
        </w:rPr>
        <w:t>针对</w:t>
      </w:r>
      <w:r>
        <w:t>细菌感染，</w:t>
      </w:r>
      <w:r>
        <w:rPr>
          <w:rFonts w:hint="eastAsia"/>
        </w:rPr>
        <w:t>则通过</w:t>
      </w:r>
      <w:r>
        <w:t>合适的</w:t>
      </w:r>
      <w:r>
        <w:rPr>
          <w:rFonts w:hint="eastAsia"/>
        </w:rPr>
        <w:t>条件</w:t>
      </w:r>
      <w:r>
        <w:t>培养，检测</w:t>
      </w:r>
      <w:r>
        <w:rPr>
          <w:rFonts w:hint="eastAsia"/>
        </w:rPr>
        <w:t>活菌</w:t>
      </w:r>
      <w:r>
        <w:t>的数量</w:t>
      </w:r>
      <w:r>
        <w:rPr>
          <w:rFonts w:hint="eastAsia"/>
        </w:rPr>
        <w:t>，具体方法</w:t>
      </w:r>
      <w:r>
        <w:t>参见附录</w:t>
      </w:r>
      <w:r>
        <w:rPr>
          <w:rFonts w:hint="eastAsia"/>
        </w:rPr>
        <w:t>D</w:t>
      </w:r>
      <w:r>
        <w:t>。</w:t>
      </w:r>
    </w:p>
    <w:p w14:paraId="068C35B6">
      <w:pPr>
        <w:pStyle w:val="62"/>
        <w:numPr>
          <w:ilvl w:val="1"/>
          <w:numId w:val="0"/>
        </w:numPr>
        <w:spacing w:before="313" w:beforeLines="100" w:after="313" w:afterLines="100" w:line="276" w:lineRule="auto"/>
        <w:jc w:val="both"/>
        <w:rPr>
          <w:rFonts w:hAnsi="黑体" w:cs="黑体"/>
        </w:rPr>
      </w:pPr>
      <w:bookmarkStart w:id="44" w:name="_Toc184293578"/>
      <w:bookmarkStart w:id="45" w:name="_Toc186818486"/>
      <w:bookmarkStart w:id="46" w:name="_Toc181626913"/>
      <w:r>
        <w:rPr>
          <w:rFonts w:hint="eastAsia" w:hAnsi="黑体" w:cs="黑体"/>
        </w:rPr>
        <w:t>6.2  组织损伤评价</w:t>
      </w:r>
      <w:bookmarkEnd w:id="44"/>
      <w:bookmarkEnd w:id="45"/>
    </w:p>
    <w:p w14:paraId="1061839C">
      <w:pPr>
        <w:spacing w:line="276" w:lineRule="auto"/>
        <w:ind w:firstLine="420" w:firstLineChars="200"/>
      </w:pPr>
      <w:r>
        <w:rPr>
          <w:rFonts w:hint="eastAsia"/>
        </w:rPr>
        <w:t>根据</w:t>
      </w:r>
      <w:r>
        <w:t>病程发展特性，在</w:t>
      </w:r>
      <w:r>
        <w:rPr>
          <w:rFonts w:hint="eastAsia"/>
        </w:rPr>
        <w:t>病原</w:t>
      </w:r>
      <w:r>
        <w:t>感染后的不同时间点，对实验动物进行安乐死，取</w:t>
      </w:r>
      <w:r>
        <w:rPr>
          <w:rFonts w:hint="eastAsia"/>
        </w:rPr>
        <w:t>全部</w:t>
      </w:r>
      <w:r>
        <w:t>肺组织进行大体病理学观察</w:t>
      </w:r>
      <w:r>
        <w:rPr>
          <w:rFonts w:hint="eastAsia"/>
        </w:rPr>
        <w:t>，包括大小、形状、质地、表面、切面、重量等</w:t>
      </w:r>
      <w:r>
        <w:t>，</w:t>
      </w:r>
      <w:r>
        <w:rPr>
          <w:rFonts w:hint="eastAsia"/>
        </w:rPr>
        <w:t>大体病理学观察评价标准见附录</w:t>
      </w:r>
      <w:r>
        <w:t>E</w:t>
      </w:r>
      <w:r>
        <w:rPr>
          <w:rFonts w:hint="eastAsia"/>
        </w:rPr>
        <w:t>；</w:t>
      </w:r>
    </w:p>
    <w:p w14:paraId="2D1565F6">
      <w:pPr>
        <w:spacing w:line="276" w:lineRule="auto"/>
        <w:ind w:firstLine="420" w:firstLineChars="200"/>
      </w:pPr>
      <w:r>
        <w:rPr>
          <w:rFonts w:hint="eastAsia"/>
        </w:rPr>
        <w:t>严格</w:t>
      </w:r>
      <w:r>
        <w:t>的病理</w:t>
      </w:r>
      <w:r>
        <w:rPr>
          <w:rFonts w:hint="eastAsia"/>
        </w:rPr>
        <w:t>组织损伤</w:t>
      </w:r>
      <w:r>
        <w:t>评价需将所有肺叶固定</w:t>
      </w:r>
      <w:r>
        <w:rPr>
          <w:rFonts w:hint="eastAsia"/>
        </w:rPr>
        <w:t>切片</w:t>
      </w:r>
      <w:r>
        <w:t>，取最大面进行组织病理学</w:t>
      </w:r>
      <w:r>
        <w:rPr>
          <w:rFonts w:hint="eastAsia"/>
        </w:rPr>
        <w:t>检查</w:t>
      </w:r>
      <w:r>
        <w:t>。</w:t>
      </w:r>
      <w:r>
        <w:rPr>
          <w:rFonts w:hint="eastAsia"/>
        </w:rPr>
        <w:t>在感染性实验</w:t>
      </w:r>
      <w:r>
        <w:t>中</w:t>
      </w:r>
      <w:r>
        <w:rPr>
          <w:rFonts w:hint="eastAsia"/>
        </w:rPr>
        <w:t>可</w:t>
      </w:r>
      <w:r>
        <w:t>根据实验目的和条件取部分肺叶进行病理学</w:t>
      </w:r>
      <w:r>
        <w:rPr>
          <w:rFonts w:hint="eastAsia"/>
        </w:rPr>
        <w:t>检查</w:t>
      </w:r>
      <w:r>
        <w:t>，</w:t>
      </w:r>
      <w:r>
        <w:rPr>
          <w:rFonts w:hint="eastAsia"/>
        </w:rPr>
        <w:t>一般</w:t>
      </w:r>
      <w:r>
        <w:t>建议</w:t>
      </w:r>
      <w:r>
        <w:rPr>
          <w:rFonts w:hint="eastAsia"/>
        </w:rPr>
        <w:t>取左</w:t>
      </w:r>
      <w:r>
        <w:t>肺</w:t>
      </w:r>
      <w:r>
        <w:rPr>
          <w:rFonts w:hint="eastAsia"/>
        </w:rPr>
        <w:t>及右肺</w:t>
      </w:r>
      <w:r>
        <w:t>中</w:t>
      </w:r>
      <w:r>
        <w:rPr>
          <w:rFonts w:hint="eastAsia"/>
        </w:rPr>
        <w:t>重点</w:t>
      </w:r>
      <w:r>
        <w:t>病变</w:t>
      </w:r>
      <w:r>
        <w:rPr>
          <w:rFonts w:hint="eastAsia"/>
        </w:rPr>
        <w:t>部位（根据大体观察结果）</w:t>
      </w:r>
      <w:r>
        <w:t>进行组织病理学检查。</w:t>
      </w:r>
    </w:p>
    <w:p w14:paraId="638F2327">
      <w:pPr>
        <w:spacing w:line="276" w:lineRule="auto"/>
        <w:ind w:firstLine="420" w:firstLineChars="200"/>
      </w:pPr>
      <w:r>
        <w:rPr>
          <w:rFonts w:hint="eastAsia"/>
        </w:rPr>
        <w:t>病例评分</w:t>
      </w:r>
      <w:r>
        <w:t>时</w:t>
      </w:r>
      <w:r>
        <w:rPr>
          <w:rFonts w:hint="eastAsia"/>
        </w:rPr>
        <w:t>打乱分组顺序后对切片随机编号，在镜下分别从每只小鼠的</w:t>
      </w:r>
      <w:r>
        <w:t>5片肺叶中</w:t>
      </w:r>
      <w:r>
        <w:rPr>
          <w:rFonts w:hint="eastAsia"/>
        </w:rPr>
        <w:t>至少</w:t>
      </w:r>
      <w:r>
        <w:t>各取2个视野</w:t>
      </w:r>
      <w:r>
        <w:rPr>
          <w:rFonts w:hint="eastAsia"/>
        </w:rPr>
        <w:t>，</w:t>
      </w:r>
      <w:r>
        <w:t>基于肺泡上皮细胞的损伤程度、感染的严重程度</w:t>
      </w:r>
      <w:r>
        <w:rPr>
          <w:rFonts w:hint="eastAsia"/>
        </w:rPr>
        <w:t>，炎性细胞</w:t>
      </w:r>
      <w:r>
        <w:t>的浸润程度</w:t>
      </w:r>
      <w:r>
        <w:rPr>
          <w:rFonts w:hint="eastAsia"/>
        </w:rPr>
        <w:t>，</w:t>
      </w:r>
      <w:r>
        <w:t>以及肺泡壁增厚的程度等病理指标分别进行评分，分级标准如表1所示。评分时利用双盲法对每张照片进行病理学评级打分，取2个结果的平均值进行统计学分析。</w:t>
      </w:r>
      <w:r>
        <w:rPr>
          <w:rFonts w:hint="eastAsia"/>
        </w:rPr>
        <w:t>组织</w:t>
      </w:r>
      <w:r>
        <w:t>病理</w:t>
      </w:r>
      <w:r>
        <w:rPr>
          <w:rFonts w:hint="eastAsia"/>
        </w:rPr>
        <w:t>损伤</w:t>
      </w:r>
      <w:r>
        <w:t>程度</w:t>
      </w:r>
      <w:r>
        <w:rPr>
          <w:rFonts w:hint="eastAsia"/>
        </w:rPr>
        <w:t>等级评定标准见表</w:t>
      </w:r>
      <w:r>
        <w:t xml:space="preserve"> 1</w:t>
      </w:r>
      <w:r>
        <w:rPr>
          <w:rFonts w:hint="eastAsia"/>
        </w:rPr>
        <w:t>。</w:t>
      </w:r>
    </w:p>
    <w:p w14:paraId="29866410">
      <w:pPr>
        <w:spacing w:before="313" w:beforeLines="100" w:after="313" w:afterLines="100" w:line="276" w:lineRule="auto"/>
        <w:ind w:left="420"/>
        <w:jc w:val="center"/>
        <w:rPr>
          <w:rFonts w:ascii="黑体" w:hAnsi="黑体" w:eastAsia="黑体" w:cs="黑体"/>
          <w:szCs w:val="21"/>
        </w:rPr>
      </w:pPr>
      <w:r>
        <w:rPr>
          <w:rFonts w:hint="eastAsia" w:ascii="黑体" w:hAnsi="黑体" w:eastAsia="黑体" w:cs="黑体"/>
          <w:szCs w:val="21"/>
        </w:rPr>
        <w:t>表1  肺组织损伤评分标准</w:t>
      </w:r>
    </w:p>
    <w:tbl>
      <w:tblPr>
        <w:tblStyle w:val="33"/>
        <w:tblW w:w="887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899"/>
      </w:tblGrid>
      <w:tr w14:paraId="3D17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0" w:type="dxa"/>
            <w:shd w:val="clear" w:color="auto" w:fill="auto"/>
            <w:vAlign w:val="center"/>
          </w:tcPr>
          <w:p w14:paraId="73C43CEA">
            <w:pPr>
              <w:tabs>
                <w:tab w:val="left" w:pos="709"/>
              </w:tabs>
              <w:spacing w:line="276" w:lineRule="auto"/>
              <w:ind w:left="420"/>
              <w:jc w:val="center"/>
              <w:rPr>
                <w:b/>
                <w:bCs/>
                <w:color w:val="000000"/>
                <w:sz w:val="18"/>
                <w:szCs w:val="18"/>
              </w:rPr>
            </w:pPr>
            <w:r>
              <w:rPr>
                <w:rFonts w:hint="eastAsia"/>
                <w:b/>
                <w:bCs/>
                <w:color w:val="000000"/>
                <w:sz w:val="18"/>
                <w:szCs w:val="18"/>
              </w:rPr>
              <w:t>病理损伤评分</w:t>
            </w:r>
          </w:p>
        </w:tc>
        <w:tc>
          <w:tcPr>
            <w:tcW w:w="6899" w:type="dxa"/>
            <w:shd w:val="clear" w:color="auto" w:fill="auto"/>
            <w:vAlign w:val="center"/>
          </w:tcPr>
          <w:p w14:paraId="675E504B">
            <w:pPr>
              <w:tabs>
                <w:tab w:val="left" w:pos="709"/>
              </w:tabs>
              <w:spacing w:line="276" w:lineRule="auto"/>
              <w:ind w:left="420"/>
              <w:rPr>
                <w:b/>
                <w:bCs/>
                <w:color w:val="000000"/>
                <w:sz w:val="18"/>
                <w:szCs w:val="18"/>
              </w:rPr>
            </w:pPr>
            <w:r>
              <w:rPr>
                <w:rFonts w:hint="eastAsia"/>
                <w:b/>
                <w:bCs/>
                <w:color w:val="000000"/>
                <w:sz w:val="18"/>
                <w:szCs w:val="18"/>
              </w:rPr>
              <w:t>评分依据</w:t>
            </w:r>
          </w:p>
        </w:tc>
      </w:tr>
      <w:tr w14:paraId="5303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0" w:type="dxa"/>
            <w:shd w:val="clear" w:color="auto" w:fill="auto"/>
            <w:vAlign w:val="center"/>
          </w:tcPr>
          <w:p w14:paraId="3267E729">
            <w:pPr>
              <w:tabs>
                <w:tab w:val="left" w:pos="709"/>
              </w:tabs>
              <w:spacing w:line="276" w:lineRule="auto"/>
              <w:ind w:left="420"/>
              <w:jc w:val="center"/>
              <w:rPr>
                <w:color w:val="000000"/>
                <w:sz w:val="18"/>
                <w:szCs w:val="18"/>
              </w:rPr>
            </w:pPr>
            <w:r>
              <w:rPr>
                <w:rFonts w:hint="eastAsia"/>
                <w:color w:val="000000"/>
                <w:sz w:val="18"/>
                <w:szCs w:val="18"/>
              </w:rPr>
              <w:t>0</w:t>
            </w:r>
          </w:p>
        </w:tc>
        <w:tc>
          <w:tcPr>
            <w:tcW w:w="6899" w:type="dxa"/>
            <w:shd w:val="clear" w:color="auto" w:fill="auto"/>
            <w:vAlign w:val="center"/>
          </w:tcPr>
          <w:p w14:paraId="779FDDC0">
            <w:pPr>
              <w:tabs>
                <w:tab w:val="left" w:pos="709"/>
              </w:tabs>
              <w:spacing w:line="276" w:lineRule="auto"/>
              <w:ind w:left="420"/>
              <w:rPr>
                <w:color w:val="000000"/>
                <w:sz w:val="18"/>
                <w:szCs w:val="18"/>
              </w:rPr>
            </w:pPr>
            <w:r>
              <w:rPr>
                <w:rFonts w:hint="eastAsia"/>
                <w:sz w:val="18"/>
                <w:szCs w:val="18"/>
              </w:rPr>
              <w:t>肺泡壁完好无增厚，</w:t>
            </w:r>
            <w:r>
              <w:rPr>
                <w:sz w:val="18"/>
                <w:szCs w:val="18"/>
              </w:rPr>
              <w:t>无炎性浸润</w:t>
            </w:r>
            <w:r>
              <w:rPr>
                <w:rFonts w:hint="eastAsia"/>
                <w:sz w:val="18"/>
                <w:szCs w:val="18"/>
              </w:rPr>
              <w:t>，</w:t>
            </w:r>
            <w:r>
              <w:rPr>
                <w:sz w:val="18"/>
                <w:szCs w:val="18"/>
              </w:rPr>
              <w:t>无充血</w:t>
            </w:r>
          </w:p>
        </w:tc>
      </w:tr>
      <w:tr w14:paraId="7DD7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0" w:type="dxa"/>
            <w:shd w:val="clear" w:color="auto" w:fill="auto"/>
            <w:vAlign w:val="center"/>
          </w:tcPr>
          <w:p w14:paraId="53909C51">
            <w:pPr>
              <w:tabs>
                <w:tab w:val="left" w:pos="709"/>
              </w:tabs>
              <w:spacing w:line="276" w:lineRule="auto"/>
              <w:ind w:left="420"/>
              <w:jc w:val="center"/>
              <w:rPr>
                <w:color w:val="000000"/>
                <w:sz w:val="18"/>
                <w:szCs w:val="18"/>
              </w:rPr>
            </w:pPr>
            <w:r>
              <w:rPr>
                <w:rFonts w:hint="eastAsia"/>
                <w:sz w:val="18"/>
                <w:szCs w:val="18"/>
              </w:rPr>
              <w:t>1</w:t>
            </w:r>
          </w:p>
        </w:tc>
        <w:tc>
          <w:tcPr>
            <w:tcW w:w="6899" w:type="dxa"/>
            <w:shd w:val="clear" w:color="auto" w:fill="auto"/>
            <w:vAlign w:val="center"/>
          </w:tcPr>
          <w:p w14:paraId="7F719FDA">
            <w:pPr>
              <w:tabs>
                <w:tab w:val="left" w:pos="709"/>
              </w:tabs>
              <w:spacing w:line="276" w:lineRule="auto"/>
              <w:ind w:left="420"/>
              <w:rPr>
                <w:color w:val="000000"/>
                <w:sz w:val="18"/>
                <w:szCs w:val="18"/>
              </w:rPr>
            </w:pPr>
            <w:r>
              <w:rPr>
                <w:rFonts w:hint="eastAsia"/>
                <w:sz w:val="18"/>
                <w:szCs w:val="18"/>
              </w:rPr>
              <w:t>肺泡壁轻微弥散性炎性细胞浸润（淋巴细胞、</w:t>
            </w:r>
            <w:r>
              <w:rPr>
                <w:sz w:val="18"/>
                <w:szCs w:val="18"/>
              </w:rPr>
              <w:t>单核细胞</w:t>
            </w:r>
            <w:r>
              <w:rPr>
                <w:rFonts w:hint="eastAsia"/>
                <w:sz w:val="18"/>
                <w:szCs w:val="18"/>
              </w:rPr>
              <w:t>或</w:t>
            </w:r>
            <w:r>
              <w:rPr>
                <w:sz w:val="18"/>
                <w:szCs w:val="18"/>
              </w:rPr>
              <w:t>中性粒细胞</w:t>
            </w:r>
            <w:r>
              <w:rPr>
                <w:rFonts w:hint="eastAsia"/>
                <w:sz w:val="18"/>
                <w:szCs w:val="18"/>
              </w:rPr>
              <w:t>），</w:t>
            </w:r>
            <w:r>
              <w:rPr>
                <w:sz w:val="18"/>
                <w:szCs w:val="18"/>
              </w:rPr>
              <w:t>肺泡壁未见增厚</w:t>
            </w:r>
          </w:p>
        </w:tc>
      </w:tr>
      <w:tr w14:paraId="60D2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0" w:type="dxa"/>
            <w:shd w:val="clear" w:color="auto" w:fill="auto"/>
            <w:vAlign w:val="center"/>
          </w:tcPr>
          <w:p w14:paraId="5153A297">
            <w:pPr>
              <w:tabs>
                <w:tab w:val="left" w:pos="709"/>
              </w:tabs>
              <w:spacing w:line="276" w:lineRule="auto"/>
              <w:ind w:left="420"/>
              <w:jc w:val="center"/>
              <w:rPr>
                <w:color w:val="000000"/>
                <w:sz w:val="18"/>
                <w:szCs w:val="18"/>
              </w:rPr>
            </w:pPr>
            <w:r>
              <w:rPr>
                <w:rFonts w:hint="eastAsia"/>
                <w:sz w:val="18"/>
                <w:szCs w:val="18"/>
              </w:rPr>
              <w:t>2</w:t>
            </w:r>
          </w:p>
        </w:tc>
        <w:tc>
          <w:tcPr>
            <w:tcW w:w="6899" w:type="dxa"/>
            <w:shd w:val="clear" w:color="auto" w:fill="auto"/>
            <w:vAlign w:val="center"/>
          </w:tcPr>
          <w:p w14:paraId="1A7AB5FD">
            <w:pPr>
              <w:tabs>
                <w:tab w:val="left" w:pos="709"/>
              </w:tabs>
              <w:spacing w:line="276" w:lineRule="auto"/>
              <w:ind w:left="420"/>
              <w:rPr>
                <w:color w:val="000000"/>
                <w:sz w:val="18"/>
                <w:szCs w:val="18"/>
              </w:rPr>
            </w:pPr>
            <w:r>
              <w:rPr>
                <w:rFonts w:hint="eastAsia"/>
                <w:sz w:val="18"/>
                <w:szCs w:val="18"/>
              </w:rPr>
              <w:t>明显和广泛的炎性细胞</w:t>
            </w:r>
            <w:r>
              <w:rPr>
                <w:sz w:val="18"/>
                <w:szCs w:val="18"/>
              </w:rPr>
              <w:t>浸润</w:t>
            </w:r>
            <w:r>
              <w:rPr>
                <w:rFonts w:hint="eastAsia"/>
                <w:sz w:val="18"/>
                <w:szCs w:val="18"/>
              </w:rPr>
              <w:t>，</w:t>
            </w:r>
            <w:r>
              <w:rPr>
                <w:sz w:val="18"/>
                <w:szCs w:val="18"/>
              </w:rPr>
              <w:t>肺泡壁轻微增厚</w:t>
            </w:r>
            <w:r>
              <w:rPr>
                <w:rFonts w:hint="eastAsia"/>
                <w:sz w:val="18"/>
                <w:szCs w:val="18"/>
              </w:rPr>
              <w:t>（</w:t>
            </w:r>
            <w:r>
              <w:rPr>
                <w:sz w:val="18"/>
                <w:szCs w:val="18"/>
              </w:rPr>
              <w:t>1-2 倍</w:t>
            </w:r>
            <w:r>
              <w:rPr>
                <w:rFonts w:hint="eastAsia"/>
                <w:sz w:val="18"/>
                <w:szCs w:val="18"/>
              </w:rPr>
              <w:t>）</w:t>
            </w:r>
          </w:p>
        </w:tc>
      </w:tr>
      <w:tr w14:paraId="34F5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0" w:type="dxa"/>
            <w:shd w:val="clear" w:color="auto" w:fill="auto"/>
            <w:vAlign w:val="center"/>
          </w:tcPr>
          <w:p w14:paraId="77AA6B4A">
            <w:pPr>
              <w:tabs>
                <w:tab w:val="left" w:pos="709"/>
              </w:tabs>
              <w:spacing w:line="276" w:lineRule="auto"/>
              <w:ind w:left="420"/>
              <w:jc w:val="center"/>
              <w:rPr>
                <w:sz w:val="18"/>
                <w:szCs w:val="18"/>
              </w:rPr>
            </w:pPr>
            <w:r>
              <w:rPr>
                <w:rFonts w:hint="eastAsia"/>
                <w:sz w:val="18"/>
                <w:szCs w:val="18"/>
              </w:rPr>
              <w:t>3</w:t>
            </w:r>
          </w:p>
        </w:tc>
        <w:tc>
          <w:tcPr>
            <w:tcW w:w="6899" w:type="dxa"/>
            <w:shd w:val="clear" w:color="auto" w:fill="auto"/>
            <w:vAlign w:val="center"/>
          </w:tcPr>
          <w:p w14:paraId="76EA513E">
            <w:pPr>
              <w:tabs>
                <w:tab w:val="left" w:pos="709"/>
              </w:tabs>
              <w:spacing w:line="276" w:lineRule="auto"/>
              <w:ind w:left="420"/>
              <w:rPr>
                <w:sz w:val="18"/>
                <w:szCs w:val="18"/>
              </w:rPr>
            </w:pPr>
            <w:r>
              <w:rPr>
                <w:rFonts w:hint="eastAsia"/>
                <w:sz w:val="18"/>
                <w:szCs w:val="18"/>
              </w:rPr>
              <w:t>严重的炎性细胞浸润，</w:t>
            </w:r>
            <w:r>
              <w:rPr>
                <w:sz w:val="18"/>
                <w:szCs w:val="18"/>
              </w:rPr>
              <w:t>个别区域肺泡壁增厚 2-3 倍</w:t>
            </w:r>
          </w:p>
        </w:tc>
      </w:tr>
      <w:tr w14:paraId="330D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0" w:type="dxa"/>
            <w:shd w:val="clear" w:color="auto" w:fill="auto"/>
            <w:vAlign w:val="center"/>
          </w:tcPr>
          <w:p w14:paraId="5E428918">
            <w:pPr>
              <w:tabs>
                <w:tab w:val="left" w:pos="709"/>
              </w:tabs>
              <w:spacing w:line="276" w:lineRule="auto"/>
              <w:ind w:left="420"/>
              <w:jc w:val="center"/>
              <w:rPr>
                <w:sz w:val="18"/>
                <w:szCs w:val="18"/>
              </w:rPr>
            </w:pPr>
            <w:r>
              <w:rPr>
                <w:rFonts w:hint="eastAsia"/>
                <w:sz w:val="18"/>
                <w:szCs w:val="18"/>
              </w:rPr>
              <w:t>4</w:t>
            </w:r>
          </w:p>
        </w:tc>
        <w:tc>
          <w:tcPr>
            <w:tcW w:w="6899" w:type="dxa"/>
            <w:shd w:val="clear" w:color="auto" w:fill="auto"/>
            <w:vAlign w:val="center"/>
          </w:tcPr>
          <w:p w14:paraId="154D982F">
            <w:pPr>
              <w:tabs>
                <w:tab w:val="left" w:pos="709"/>
              </w:tabs>
              <w:spacing w:line="276" w:lineRule="auto"/>
              <w:ind w:left="420"/>
              <w:rPr>
                <w:sz w:val="18"/>
                <w:szCs w:val="18"/>
              </w:rPr>
            </w:pPr>
            <w:r>
              <w:rPr>
                <w:rFonts w:hint="eastAsia"/>
                <w:sz w:val="18"/>
                <w:szCs w:val="18"/>
              </w:rPr>
              <w:t>严重的炎性细胞浸润，肺泡壁明显增厚，</w:t>
            </w:r>
            <w:r>
              <w:rPr>
                <w:sz w:val="18"/>
                <w:szCs w:val="18"/>
              </w:rPr>
              <w:t>25-50%肺组织实化</w:t>
            </w:r>
          </w:p>
        </w:tc>
      </w:tr>
      <w:tr w14:paraId="5B6A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0" w:type="dxa"/>
            <w:shd w:val="clear" w:color="auto" w:fill="auto"/>
            <w:vAlign w:val="center"/>
          </w:tcPr>
          <w:p w14:paraId="541834CD">
            <w:pPr>
              <w:tabs>
                <w:tab w:val="left" w:pos="709"/>
              </w:tabs>
              <w:spacing w:line="276" w:lineRule="auto"/>
              <w:ind w:left="420"/>
              <w:jc w:val="center"/>
              <w:rPr>
                <w:color w:val="000000"/>
                <w:sz w:val="18"/>
                <w:szCs w:val="18"/>
              </w:rPr>
            </w:pPr>
            <w:r>
              <w:rPr>
                <w:rFonts w:hint="eastAsia"/>
                <w:sz w:val="18"/>
                <w:szCs w:val="18"/>
              </w:rPr>
              <w:t>5</w:t>
            </w:r>
          </w:p>
        </w:tc>
        <w:tc>
          <w:tcPr>
            <w:tcW w:w="6899" w:type="dxa"/>
            <w:shd w:val="clear" w:color="auto" w:fill="auto"/>
            <w:vAlign w:val="center"/>
          </w:tcPr>
          <w:p w14:paraId="2BC4AA1E">
            <w:pPr>
              <w:tabs>
                <w:tab w:val="left" w:pos="709"/>
              </w:tabs>
              <w:spacing w:line="276" w:lineRule="auto"/>
              <w:ind w:left="420"/>
              <w:rPr>
                <w:color w:val="000000"/>
                <w:sz w:val="18"/>
                <w:szCs w:val="18"/>
              </w:rPr>
            </w:pPr>
            <w:r>
              <w:rPr>
                <w:rFonts w:hint="eastAsia"/>
                <w:sz w:val="18"/>
                <w:szCs w:val="18"/>
              </w:rPr>
              <w:t>严重的炎性细胞浸润，肺泡壁明显增厚，</w:t>
            </w:r>
            <w:r>
              <w:rPr>
                <w:sz w:val="18"/>
                <w:szCs w:val="18"/>
              </w:rPr>
              <w:t>&gt;50%肺组织实化</w:t>
            </w:r>
          </w:p>
        </w:tc>
      </w:tr>
    </w:tbl>
    <w:p w14:paraId="1492442B">
      <w:pPr>
        <w:pStyle w:val="62"/>
        <w:numPr>
          <w:ilvl w:val="1"/>
          <w:numId w:val="0"/>
        </w:numPr>
        <w:spacing w:before="313" w:beforeLines="100" w:after="313" w:afterLines="100" w:line="276" w:lineRule="auto"/>
        <w:jc w:val="both"/>
        <w:rPr>
          <w:rFonts w:hAnsi="黑体" w:cs="黑体"/>
        </w:rPr>
      </w:pPr>
      <w:bookmarkStart w:id="47" w:name="_Toc184293579"/>
      <w:bookmarkStart w:id="48" w:name="_Toc186818487"/>
      <w:r>
        <w:rPr>
          <w:rFonts w:hint="eastAsia" w:hAnsi="黑体" w:cs="黑体"/>
        </w:rPr>
        <w:t>6.3  肺泡-毛细血管屏障损伤评价</w:t>
      </w:r>
      <w:bookmarkEnd w:id="47"/>
      <w:bookmarkEnd w:id="48"/>
    </w:p>
    <w:p w14:paraId="0CB4CF8F">
      <w:pPr>
        <w:spacing w:line="276" w:lineRule="auto"/>
      </w:pPr>
      <w:r>
        <w:rPr>
          <w:rFonts w:hint="eastAsia" w:ascii="黑体" w:hAnsi="黑体" w:eastAsia="黑体" w:cs="黑体"/>
        </w:rPr>
        <w:t xml:space="preserve">6.3.1  </w:t>
      </w:r>
      <w:r>
        <w:rPr>
          <w:rFonts w:hint="eastAsia"/>
        </w:rPr>
        <w:t>BALF中蛋白</w:t>
      </w:r>
      <w:r>
        <w:t>含量</w:t>
      </w:r>
      <w:r>
        <w:rPr>
          <w:rFonts w:hint="eastAsia"/>
        </w:rPr>
        <w:t>检测：</w:t>
      </w:r>
      <w:r>
        <w:rPr>
          <w:rFonts w:hint="eastAsia"/>
          <w:bCs/>
        </w:rPr>
        <w:t>在动物感染实验</w:t>
      </w:r>
      <w:r>
        <w:rPr>
          <w:bCs/>
        </w:rPr>
        <w:t>终点</w:t>
      </w:r>
      <w:r>
        <w:rPr>
          <w:rFonts w:hint="eastAsia"/>
          <w:bCs/>
        </w:rPr>
        <w:t>取小鼠</w:t>
      </w:r>
      <w:r>
        <w:rPr>
          <w:rFonts w:hint="eastAsia"/>
        </w:rPr>
        <w:t>BALF，离心</w:t>
      </w:r>
      <w:r>
        <w:t>取上清，用Bicinchoninic Acid Assay</w:t>
      </w:r>
      <w:r>
        <w:rPr>
          <w:rFonts w:hint="eastAsia"/>
        </w:rPr>
        <w:t>方法</w:t>
      </w:r>
      <w:r>
        <w:t>检测</w:t>
      </w:r>
      <w:r>
        <w:rPr>
          <w:rFonts w:hint="eastAsia"/>
        </w:rPr>
        <w:t>BALF中蛋白的</w:t>
      </w:r>
      <w:r>
        <w:t>含量</w:t>
      </w:r>
      <w:r>
        <w:rPr>
          <w:rFonts w:hint="eastAsia"/>
        </w:rPr>
        <w:t>。</w:t>
      </w:r>
    </w:p>
    <w:p w14:paraId="484535F0">
      <w:pPr>
        <w:spacing w:line="276" w:lineRule="auto"/>
      </w:pPr>
      <w:r>
        <w:rPr>
          <w:rFonts w:hint="eastAsia" w:ascii="黑体" w:hAnsi="黑体" w:eastAsia="黑体" w:cs="黑体"/>
        </w:rPr>
        <w:t xml:space="preserve">6.3.2  </w:t>
      </w:r>
      <w:r>
        <w:rPr>
          <w:rFonts w:hint="eastAsia"/>
        </w:rPr>
        <w:t>肺湿</w:t>
      </w:r>
      <w:r>
        <w:t>/</w:t>
      </w:r>
      <w:r>
        <w:rPr>
          <w:rFonts w:hint="eastAsia"/>
        </w:rPr>
        <w:t>干重比：在动物感染实验终点取全肺称重，确定湿重；置于烘箱中烘干后称重，确定干重；计算干</w:t>
      </w:r>
      <w:r>
        <w:t>/湿比。</w:t>
      </w:r>
    </w:p>
    <w:p w14:paraId="79E97B00">
      <w:pPr>
        <w:spacing w:line="276" w:lineRule="auto"/>
      </w:pPr>
      <w:r>
        <w:rPr>
          <w:rFonts w:hint="eastAsia" w:ascii="黑体" w:hAnsi="黑体" w:eastAsia="黑体" w:cs="黑体"/>
        </w:rPr>
        <w:t xml:space="preserve">6.3.3  </w:t>
      </w:r>
      <w:r>
        <w:rPr>
          <w:rFonts w:hint="eastAsia"/>
        </w:rPr>
        <w:t>肺泡出血和</w:t>
      </w:r>
      <w:r>
        <w:t>/或出现红细胞</w:t>
      </w:r>
      <w:r>
        <w:rPr>
          <w:rFonts w:hint="eastAsia"/>
        </w:rPr>
        <w:t>：取肺脏</w:t>
      </w:r>
      <w:r>
        <w:t>进行组织病理学检查</w:t>
      </w:r>
      <w:r>
        <w:rPr>
          <w:rFonts w:hint="eastAsia"/>
        </w:rPr>
        <w:t>，显微镜下</w:t>
      </w:r>
      <w:r>
        <w:t>观察肺泡中出血及红细胞的情况</w:t>
      </w:r>
      <w:r>
        <w:rPr>
          <w:rFonts w:hint="eastAsia"/>
        </w:rPr>
        <w:t>（具体</w:t>
      </w:r>
      <w:r>
        <w:t>参照</w:t>
      </w:r>
      <w:r>
        <w:rPr>
          <w:rFonts w:hint="eastAsia"/>
        </w:rPr>
        <w:t>6.2）</w:t>
      </w:r>
      <w:r>
        <w:t>。</w:t>
      </w:r>
    </w:p>
    <w:bookmarkEnd w:id="46"/>
    <w:p w14:paraId="34967D0A">
      <w:pPr>
        <w:pStyle w:val="62"/>
        <w:numPr>
          <w:ilvl w:val="1"/>
          <w:numId w:val="0"/>
        </w:numPr>
        <w:spacing w:before="313" w:beforeLines="100" w:after="313" w:afterLines="100" w:line="276" w:lineRule="auto"/>
        <w:jc w:val="both"/>
        <w:rPr>
          <w:rFonts w:hAnsi="黑体" w:cs="黑体"/>
        </w:rPr>
      </w:pPr>
      <w:bookmarkStart w:id="49" w:name="_Toc184293580"/>
      <w:bookmarkStart w:id="50" w:name="_Toc186818488"/>
      <w:bookmarkStart w:id="51" w:name="_Toc181626916"/>
      <w:r>
        <w:rPr>
          <w:rFonts w:hint="eastAsia" w:hAnsi="黑体" w:cs="黑体"/>
        </w:rPr>
        <w:t>6.4  炎性反应评价</w:t>
      </w:r>
      <w:bookmarkEnd w:id="49"/>
      <w:bookmarkEnd w:id="50"/>
    </w:p>
    <w:p w14:paraId="4980A38A">
      <w:pPr>
        <w:spacing w:line="276" w:lineRule="auto"/>
        <w:ind w:firstLine="420" w:firstLineChars="200"/>
      </w:pPr>
      <w:r>
        <w:rPr>
          <w:rFonts w:hint="eastAsia"/>
        </w:rPr>
        <w:t>根据</w:t>
      </w:r>
      <w:r>
        <w:t>病程发展特性，在感染后的不同时间点</w:t>
      </w:r>
      <w:r>
        <w:rPr>
          <w:rFonts w:hint="eastAsia"/>
        </w:rPr>
        <w:t>或</w:t>
      </w:r>
      <w:r>
        <w:t>实验终点进行</w:t>
      </w:r>
      <w:r>
        <w:rPr>
          <w:rFonts w:hint="eastAsia"/>
        </w:rPr>
        <w:t>炎症反应分析，</w:t>
      </w:r>
      <w:r>
        <w:t>具体如下</w:t>
      </w:r>
      <w:r>
        <w:rPr>
          <w:rFonts w:hint="eastAsia"/>
        </w:rPr>
        <w:t>：</w:t>
      </w:r>
    </w:p>
    <w:bookmarkEnd w:id="51"/>
    <w:p w14:paraId="408A5556">
      <w:pPr>
        <w:spacing w:line="276" w:lineRule="auto"/>
      </w:pPr>
      <w:r>
        <w:rPr>
          <w:rFonts w:hint="eastAsia" w:ascii="黑体" w:hAnsi="黑体" w:eastAsia="黑体" w:cs="黑体"/>
        </w:rPr>
        <w:t xml:space="preserve">6.4.1  </w:t>
      </w:r>
      <w:r>
        <w:rPr>
          <w:rFonts w:hint="eastAsia"/>
        </w:rPr>
        <w:t>趋化因子或</w:t>
      </w:r>
      <w:r>
        <w:t>细胞因子的测定</w:t>
      </w:r>
      <w:r>
        <w:rPr>
          <w:rFonts w:hint="eastAsia"/>
        </w:rPr>
        <w:t>：取动物BALF，离心</w:t>
      </w:r>
      <w:r>
        <w:t>取上清，</w:t>
      </w:r>
      <w:r>
        <w:rPr>
          <w:rFonts w:hint="eastAsia"/>
        </w:rPr>
        <w:t>利用</w:t>
      </w:r>
      <w:r>
        <w:t>免疫学技术定量检测</w:t>
      </w:r>
      <w:r>
        <w:rPr>
          <w:rFonts w:hint="eastAsia"/>
        </w:rPr>
        <w:t>趋化因子</w:t>
      </w:r>
      <w:r>
        <w:t>及细胞因子。</w:t>
      </w:r>
      <w:r>
        <w:rPr>
          <w:rFonts w:hint="eastAsia"/>
        </w:rPr>
        <w:t>常规</w:t>
      </w:r>
      <w:r>
        <w:t>的方法</w:t>
      </w:r>
      <w:r>
        <w:rPr>
          <w:rFonts w:hint="eastAsia"/>
        </w:rPr>
        <w:t>包括酶联免疫吸附测定法（</w:t>
      </w:r>
      <w:r>
        <w:t>ELISA）</w:t>
      </w:r>
      <w:r>
        <w:rPr>
          <w:rFonts w:hint="eastAsia"/>
        </w:rPr>
        <w:t>及</w:t>
      </w:r>
      <w:r>
        <w:t>可同时检测多种因子的Luminex液相芯片检测</w:t>
      </w:r>
      <w:r>
        <w:rPr>
          <w:rFonts w:hint="eastAsia"/>
        </w:rPr>
        <w:t>技术</w:t>
      </w:r>
      <w:r>
        <w:t>。</w:t>
      </w:r>
      <w:r>
        <w:rPr>
          <w:rFonts w:hint="eastAsia"/>
        </w:rPr>
        <w:t>主要</w:t>
      </w:r>
      <w:r>
        <w:t>指标</w:t>
      </w:r>
      <w:r>
        <w:rPr>
          <w:rFonts w:hint="eastAsia"/>
        </w:rPr>
        <w:t>包括</w:t>
      </w:r>
      <w:r>
        <w:t>CXCL1/2</w:t>
      </w:r>
      <w:r>
        <w:rPr>
          <w:rFonts w:hint="eastAsia"/>
        </w:rPr>
        <w:t>、</w:t>
      </w:r>
      <w:r>
        <w:t>MCP-1</w:t>
      </w:r>
      <w:r>
        <w:rPr>
          <w:rFonts w:hint="eastAsia"/>
        </w:rPr>
        <w:t>、</w:t>
      </w:r>
      <w:r>
        <w:t>MCP-3</w:t>
      </w:r>
      <w:r>
        <w:rPr>
          <w:rFonts w:hint="eastAsia"/>
        </w:rPr>
        <w:t>、</w:t>
      </w:r>
      <w:r>
        <w:t>IL-6</w:t>
      </w:r>
      <w:r>
        <w:rPr>
          <w:rFonts w:hint="eastAsia"/>
        </w:rPr>
        <w:t>、</w:t>
      </w:r>
      <w:r>
        <w:t>IL-1β</w:t>
      </w:r>
      <w:r>
        <w:rPr>
          <w:rFonts w:hint="eastAsia"/>
        </w:rPr>
        <w:t>、</w:t>
      </w:r>
      <w:r>
        <w:t>TNF-α</w:t>
      </w:r>
      <w:r>
        <w:rPr>
          <w:rFonts w:hint="eastAsia"/>
        </w:rPr>
        <w:t>、</w:t>
      </w:r>
      <w:r>
        <w:t>TNFR1</w:t>
      </w:r>
      <w:r>
        <w:rPr>
          <w:rFonts w:hint="eastAsia"/>
        </w:rPr>
        <w:t>、</w:t>
      </w:r>
      <w:r>
        <w:t>IL-18</w:t>
      </w:r>
      <w:r>
        <w:rPr>
          <w:rFonts w:hint="eastAsia"/>
        </w:rPr>
        <w:t>、</w:t>
      </w:r>
      <w:r>
        <w:t>IL-10</w:t>
      </w:r>
      <w:r>
        <w:rPr>
          <w:rFonts w:hint="eastAsia"/>
        </w:rPr>
        <w:t>等；</w:t>
      </w:r>
    </w:p>
    <w:p w14:paraId="7173938E">
      <w:pPr>
        <w:spacing w:line="276" w:lineRule="auto"/>
      </w:pPr>
      <w:r>
        <w:rPr>
          <w:rFonts w:hint="eastAsia" w:ascii="黑体" w:hAnsi="黑体" w:eastAsia="黑体" w:cs="黑体"/>
        </w:rPr>
        <w:t xml:space="preserve">6.4.2  </w:t>
      </w:r>
      <w:r>
        <w:rPr>
          <w:rFonts w:hint="eastAsia"/>
        </w:rPr>
        <w:t>免疫细胞检测：</w:t>
      </w:r>
      <w:r>
        <w:t>取</w:t>
      </w:r>
      <w:r>
        <w:rPr>
          <w:rFonts w:hint="eastAsia"/>
        </w:rPr>
        <w:t>BALF的细胞沉淀，制备细胞涂片，干燥后</w:t>
      </w:r>
      <w:r>
        <w:t>用</w:t>
      </w:r>
      <w:r>
        <w:rPr>
          <w:rFonts w:hint="eastAsia"/>
        </w:rPr>
        <w:t>迪夫快速染色（Diff-Quik Stain）法，做免疫细胞分类计数，鉴定BALF中免疫细胞的数量、种类、比例等，或用免疫荧光及</w:t>
      </w:r>
      <w:r>
        <w:t>流式细胞</w:t>
      </w:r>
      <w:r>
        <w:rPr>
          <w:rFonts w:hint="eastAsia"/>
        </w:rPr>
        <w:t>术的</w:t>
      </w:r>
      <w:r>
        <w:t>方法鉴定</w:t>
      </w:r>
      <w:r>
        <w:rPr>
          <w:rFonts w:hint="eastAsia"/>
        </w:rPr>
        <w:t>BALF中免疫细胞</w:t>
      </w:r>
      <w:r>
        <w:t>的</w:t>
      </w:r>
      <w:r>
        <w:rPr>
          <w:rFonts w:hint="eastAsia"/>
        </w:rPr>
        <w:t>数量和种类。取</w:t>
      </w:r>
      <w:r>
        <w:t>肺组织切片，</w:t>
      </w:r>
      <w:r>
        <w:rPr>
          <w:rFonts w:hint="eastAsia"/>
        </w:rPr>
        <w:t>利用</w:t>
      </w:r>
      <w:r>
        <w:t>免疫荧光</w:t>
      </w:r>
      <w:r>
        <w:rPr>
          <w:rFonts w:hint="eastAsia"/>
        </w:rPr>
        <w:t>/</w:t>
      </w:r>
      <w:r>
        <w:t>组化</w:t>
      </w:r>
      <w:r>
        <w:rPr>
          <w:rFonts w:hint="eastAsia"/>
        </w:rPr>
        <w:t>/流式</w:t>
      </w:r>
      <w:r>
        <w:t>细胞</w:t>
      </w:r>
      <w:r>
        <w:rPr>
          <w:rFonts w:hint="eastAsia"/>
        </w:rPr>
        <w:t>术检测肺部</w:t>
      </w:r>
      <w:r>
        <w:t>炎性细胞浸润的</w:t>
      </w:r>
      <w:r>
        <w:rPr>
          <w:rFonts w:hint="eastAsia"/>
        </w:rPr>
        <w:t>情况。</w:t>
      </w:r>
    </w:p>
    <w:p w14:paraId="030D8CEE">
      <w:pPr>
        <w:spacing w:line="276" w:lineRule="auto"/>
        <w:rPr>
          <w:rFonts w:cs="黑体"/>
        </w:rPr>
      </w:pPr>
      <w:r>
        <w:rPr>
          <w:rFonts w:hint="eastAsia" w:ascii="黑体" w:hAnsi="黑体" w:eastAsia="黑体" w:cs="黑体"/>
        </w:rPr>
        <w:t xml:space="preserve">6.4.3  </w:t>
      </w:r>
      <w:r>
        <w:rPr>
          <w:rFonts w:hint="eastAsia"/>
        </w:rPr>
        <w:t>肺部</w:t>
      </w:r>
      <w:r>
        <w:t>炎症因子表达情况</w:t>
      </w:r>
      <w:r>
        <w:rPr>
          <w:rFonts w:hint="eastAsia"/>
        </w:rPr>
        <w:t>检测：</w:t>
      </w:r>
      <w:r>
        <w:rPr>
          <w:rFonts w:hint="eastAsia" w:cs="黑体"/>
        </w:rPr>
        <w:t>取动物肺</w:t>
      </w:r>
      <w:r>
        <w:rPr>
          <w:rFonts w:cs="黑体"/>
        </w:rPr>
        <w:t>组织</w:t>
      </w:r>
      <w:r>
        <w:rPr>
          <w:rFonts w:hint="eastAsia" w:cs="黑体"/>
        </w:rPr>
        <w:t>研磨后</w:t>
      </w:r>
      <w:r>
        <w:rPr>
          <w:rFonts w:cs="黑体"/>
        </w:rPr>
        <w:t>，用</w:t>
      </w:r>
      <w:r>
        <w:rPr>
          <w:rFonts w:hint="eastAsia" w:cs="黑体"/>
        </w:rPr>
        <w:t>TRIZOL提取总RNA，</w:t>
      </w:r>
      <w:r>
        <w:rPr>
          <w:rFonts w:cs="黑体"/>
        </w:rPr>
        <w:t>利用</w:t>
      </w:r>
      <w:r>
        <w:rPr>
          <w:rFonts w:hint="eastAsia" w:cs="黑体"/>
        </w:rPr>
        <w:t>RT-</w:t>
      </w:r>
      <w:r>
        <w:rPr>
          <w:rFonts w:cs="黑体"/>
        </w:rPr>
        <w:t>qPCR</w:t>
      </w:r>
      <w:r>
        <w:rPr>
          <w:rFonts w:hint="eastAsia" w:cs="黑体"/>
        </w:rPr>
        <w:t>进行</w:t>
      </w:r>
      <w:r>
        <w:rPr>
          <w:rFonts w:cs="黑体"/>
        </w:rPr>
        <w:t>肺组织</w:t>
      </w:r>
      <w:r>
        <w:rPr>
          <w:rFonts w:hint="eastAsia" w:cs="黑体"/>
        </w:rPr>
        <w:t>中</w:t>
      </w:r>
      <w:r>
        <w:rPr>
          <w:rFonts w:cs="黑体"/>
        </w:rPr>
        <w:t>炎症因子的mRNA</w:t>
      </w:r>
      <w:r>
        <w:rPr>
          <w:rFonts w:hint="eastAsia" w:cs="黑体"/>
        </w:rPr>
        <w:t>定量</w:t>
      </w:r>
      <w:r>
        <w:rPr>
          <w:rFonts w:cs="黑体"/>
        </w:rPr>
        <w:t>分析</w:t>
      </w:r>
      <w:r>
        <w:rPr>
          <w:rFonts w:hint="eastAsia" w:cs="黑体"/>
        </w:rPr>
        <w:t>，可包括</w:t>
      </w:r>
      <w:r>
        <w:t>CXCL1/2</w:t>
      </w:r>
      <w:r>
        <w:rPr>
          <w:rFonts w:hint="eastAsia"/>
        </w:rPr>
        <w:t>、</w:t>
      </w:r>
      <w:r>
        <w:t>MCP-1</w:t>
      </w:r>
      <w:r>
        <w:rPr>
          <w:rFonts w:hint="eastAsia"/>
        </w:rPr>
        <w:t>、</w:t>
      </w:r>
      <w:r>
        <w:t>MCP-3</w:t>
      </w:r>
      <w:r>
        <w:rPr>
          <w:rFonts w:hint="eastAsia"/>
        </w:rPr>
        <w:t>、</w:t>
      </w:r>
      <w:r>
        <w:t>IL-6</w:t>
      </w:r>
      <w:r>
        <w:rPr>
          <w:rFonts w:hint="eastAsia"/>
        </w:rPr>
        <w:t>、</w:t>
      </w:r>
      <w:r>
        <w:t>IL-1β</w:t>
      </w:r>
      <w:r>
        <w:rPr>
          <w:rFonts w:hint="eastAsia"/>
        </w:rPr>
        <w:t>、</w:t>
      </w:r>
      <w:r>
        <w:t>TNF-α</w:t>
      </w:r>
      <w:r>
        <w:rPr>
          <w:rFonts w:hint="eastAsia"/>
        </w:rPr>
        <w:t>、</w:t>
      </w:r>
      <w:r>
        <w:t>TNFR1</w:t>
      </w:r>
      <w:r>
        <w:rPr>
          <w:rFonts w:hint="eastAsia"/>
        </w:rPr>
        <w:t>、</w:t>
      </w:r>
      <w:r>
        <w:t>IL-18</w:t>
      </w:r>
      <w:r>
        <w:rPr>
          <w:rFonts w:hint="eastAsia"/>
        </w:rPr>
        <w:t>、</w:t>
      </w:r>
      <w:r>
        <w:t>IL-10</w:t>
      </w:r>
      <w:r>
        <w:rPr>
          <w:rFonts w:hint="eastAsia" w:cs="黑体"/>
        </w:rPr>
        <w:t>等，</w:t>
      </w:r>
      <w:r>
        <w:rPr>
          <w:rFonts w:cs="黑体"/>
        </w:rPr>
        <w:t>具体方法参见附录A</w:t>
      </w:r>
      <w:r>
        <w:rPr>
          <w:rFonts w:hint="eastAsia" w:cs="黑体"/>
        </w:rPr>
        <w:t>和</w:t>
      </w:r>
      <w:r>
        <w:rPr>
          <w:rFonts w:cs="黑体"/>
        </w:rPr>
        <w:t>B</w:t>
      </w:r>
      <w:r>
        <w:rPr>
          <w:rFonts w:hint="eastAsia" w:cs="黑体"/>
        </w:rPr>
        <w:t>。</w:t>
      </w:r>
    </w:p>
    <w:p w14:paraId="48AFF317">
      <w:pPr>
        <w:pStyle w:val="62"/>
        <w:numPr>
          <w:ilvl w:val="1"/>
          <w:numId w:val="0"/>
        </w:numPr>
        <w:spacing w:before="313" w:beforeLines="100" w:after="313" w:afterLines="100" w:line="276" w:lineRule="auto"/>
        <w:jc w:val="both"/>
        <w:rPr>
          <w:rFonts w:hAnsi="黑体" w:cs="黑体"/>
        </w:rPr>
      </w:pPr>
      <w:bookmarkStart w:id="52" w:name="_Toc186818489"/>
      <w:bookmarkStart w:id="53" w:name="_Toc184293581"/>
      <w:r>
        <w:rPr>
          <w:rFonts w:hint="eastAsia" w:hAnsi="黑体" w:cs="黑体"/>
        </w:rPr>
        <w:t>6.5  肺生理功能损伤评价</w:t>
      </w:r>
      <w:bookmarkEnd w:id="52"/>
      <w:bookmarkEnd w:id="53"/>
    </w:p>
    <w:p w14:paraId="6E37D6FB">
      <w:pPr>
        <w:spacing w:line="276" w:lineRule="auto"/>
        <w:rPr>
          <w:rFonts w:cs="黑体"/>
          <w:szCs w:val="21"/>
        </w:rPr>
      </w:pPr>
      <w:bookmarkStart w:id="54" w:name="_Toc184293582"/>
      <w:r>
        <w:rPr>
          <w:rFonts w:hint="eastAsia" w:ascii="黑体" w:hAnsi="黑体" w:eastAsia="黑体" w:cs="黑体"/>
        </w:rPr>
        <w:t xml:space="preserve">6.5.1  </w:t>
      </w:r>
      <w:r>
        <w:rPr>
          <w:rFonts w:hint="eastAsia"/>
        </w:rPr>
        <w:t>临床观察指标</w:t>
      </w:r>
      <w:bookmarkEnd w:id="54"/>
      <w:r>
        <w:rPr>
          <w:rFonts w:hint="eastAsia"/>
        </w:rPr>
        <w:t>：在对模型完成感染后，应连续观察发病情况，并记录体重，观察间隔不应超过</w:t>
      </w:r>
      <w:r>
        <w:t xml:space="preserve"> 2 天</w:t>
      </w:r>
      <w:r>
        <w:rPr>
          <w:rFonts w:hint="eastAsia"/>
        </w:rPr>
        <w:t>。主要观察</w:t>
      </w:r>
      <w:r>
        <w:t>小鼠的体重变化</w:t>
      </w:r>
      <w:r>
        <w:rPr>
          <w:rFonts w:hint="eastAsia"/>
        </w:rPr>
        <w:t>、</w:t>
      </w:r>
      <w:r>
        <w:t>活动能力</w:t>
      </w:r>
      <w:r>
        <w:rPr>
          <w:rFonts w:hint="eastAsia"/>
        </w:rPr>
        <w:t>等</w:t>
      </w:r>
      <w:r>
        <w:rPr>
          <w:rFonts w:hint="eastAsia" w:cs="黑体"/>
          <w:szCs w:val="21"/>
        </w:rPr>
        <w:t>。</w:t>
      </w:r>
      <w:bookmarkStart w:id="55" w:name="_Toc184293584"/>
    </w:p>
    <w:p w14:paraId="5B170056">
      <w:pPr>
        <w:spacing w:line="276" w:lineRule="auto"/>
      </w:pPr>
      <w:r>
        <w:rPr>
          <w:rFonts w:hint="eastAsia" w:ascii="黑体" w:hAnsi="黑体" w:eastAsia="黑体" w:cs="黑体"/>
        </w:rPr>
        <w:t xml:space="preserve">6.5.2  </w:t>
      </w:r>
      <w:r>
        <w:rPr>
          <w:rFonts w:hint="eastAsia"/>
        </w:rPr>
        <w:t>肺生理功能检测</w:t>
      </w:r>
      <w:bookmarkEnd w:id="55"/>
      <w:r>
        <w:rPr>
          <w:rFonts w:hint="eastAsia"/>
        </w:rPr>
        <w:t>：测量动物肺功能的主要有无创和有创体积描记法，</w:t>
      </w:r>
      <w:r>
        <w:t>对于</w:t>
      </w:r>
      <w:r>
        <w:rPr>
          <w:rFonts w:hint="eastAsia"/>
        </w:rPr>
        <w:t>病原感染</w:t>
      </w:r>
      <w:r>
        <w:t>动物优先选择无创的方法，在感染后的不同时间点</w:t>
      </w:r>
      <w:r>
        <w:rPr>
          <w:rFonts w:hint="eastAsia"/>
        </w:rPr>
        <w:t>将</w:t>
      </w:r>
      <w:r>
        <w:t>感染</w:t>
      </w:r>
      <w:r>
        <w:rPr>
          <w:rFonts w:hint="eastAsia"/>
        </w:rPr>
        <w:t>或</w:t>
      </w:r>
      <w:r>
        <w:t>对照</w:t>
      </w:r>
      <w:r>
        <w:rPr>
          <w:rFonts w:hint="eastAsia"/>
        </w:rPr>
        <w:t>小动物</w:t>
      </w:r>
      <w:r>
        <w:t>置于</w:t>
      </w:r>
      <w:r>
        <w:rPr>
          <w:rFonts w:hint="eastAsia"/>
        </w:rPr>
        <w:t>无创全身体积描记器系统，</w:t>
      </w:r>
      <w:r>
        <w:t>如</w:t>
      </w:r>
      <w:r>
        <w:rPr>
          <w:rFonts w:hint="eastAsia"/>
        </w:rPr>
        <w:t>WBP-4MR，测量实验动物在非侵入非约束状态下</w:t>
      </w:r>
      <w:r>
        <w:t>的</w:t>
      </w:r>
      <w:r>
        <w:rPr>
          <w:rFonts w:hint="eastAsia"/>
        </w:rPr>
        <w:t>呼吸参数，包括呼吸频率、每分通气量、最大呼气流量、最大吸气流量、</w:t>
      </w:r>
      <w:r>
        <w:t>呼气时间</w:t>
      </w:r>
      <w:r>
        <w:rPr>
          <w:rFonts w:hint="eastAsia"/>
        </w:rPr>
        <w:t>、</w:t>
      </w:r>
      <w:r>
        <w:t>吸气时间</w:t>
      </w:r>
      <w:r>
        <w:rPr>
          <w:rFonts w:hint="eastAsia"/>
        </w:rPr>
        <w:t>、</w:t>
      </w:r>
      <w:r>
        <w:t>潮气量</w:t>
      </w:r>
      <w:r>
        <w:rPr>
          <w:rFonts w:hint="eastAsia"/>
        </w:rPr>
        <w:t>等，各</w:t>
      </w:r>
      <w:r>
        <w:t>指标</w:t>
      </w:r>
      <w:r>
        <w:rPr>
          <w:rFonts w:hint="eastAsia"/>
        </w:rPr>
        <w:t>变化</w:t>
      </w:r>
      <w:r>
        <w:t>的</w:t>
      </w:r>
      <w:r>
        <w:rPr>
          <w:rFonts w:hint="eastAsia"/>
        </w:rPr>
        <w:t>潜在</w:t>
      </w:r>
      <w:r>
        <w:t>生理意义</w:t>
      </w:r>
      <w:r>
        <w:rPr>
          <w:rFonts w:hint="eastAsia"/>
        </w:rPr>
        <w:t>见附录</w:t>
      </w:r>
      <w:r>
        <w:t>F</w:t>
      </w:r>
      <w:r>
        <w:rPr>
          <w:rFonts w:hint="eastAsia"/>
        </w:rPr>
        <w:t>：</w:t>
      </w:r>
    </w:p>
    <w:p w14:paraId="38636175">
      <w:pPr>
        <w:spacing w:line="276" w:lineRule="auto"/>
      </w:pPr>
      <w:r>
        <w:rPr>
          <w:rFonts w:hint="eastAsia"/>
        </w:rPr>
        <w:t>不同</w:t>
      </w:r>
      <w:r>
        <w:t>动物的肺功能参数不尽相同，</w:t>
      </w:r>
      <w:r>
        <w:rPr>
          <w:rFonts w:hint="eastAsia"/>
        </w:rPr>
        <w:t>且肺功能指标容易受到多种内外环境因素、</w:t>
      </w:r>
      <w:r>
        <w:t>个体大小</w:t>
      </w:r>
      <w:r>
        <w:rPr>
          <w:rFonts w:hint="eastAsia"/>
        </w:rPr>
        <w:t>及</w:t>
      </w:r>
      <w:r>
        <w:t>时间节律的</w:t>
      </w:r>
      <w:r>
        <w:rPr>
          <w:rFonts w:hint="eastAsia"/>
        </w:rPr>
        <w:t>影响，</w:t>
      </w:r>
      <w:r>
        <w:t>因此要严格做好对照</w:t>
      </w:r>
      <w:r>
        <w:rPr>
          <w:rFonts w:hint="eastAsia"/>
        </w:rPr>
        <w:t>，在</w:t>
      </w:r>
      <w:r>
        <w:t>同等条件下</w:t>
      </w:r>
      <w:r>
        <w:rPr>
          <w:rFonts w:hint="eastAsia"/>
        </w:rPr>
        <w:t>、</w:t>
      </w:r>
      <w:r>
        <w:t>相同时间节点</w:t>
      </w:r>
      <w:r>
        <w:rPr>
          <w:rFonts w:hint="eastAsia"/>
        </w:rPr>
        <w:t>对比</w:t>
      </w:r>
      <w:r>
        <w:t>检测</w:t>
      </w:r>
      <w:r>
        <w:rPr>
          <w:rFonts w:hint="eastAsia"/>
        </w:rPr>
        <w:t>感染</w:t>
      </w:r>
      <w:r>
        <w:t>及未感染</w:t>
      </w:r>
      <w:r>
        <w:rPr>
          <w:rFonts w:hint="eastAsia"/>
        </w:rPr>
        <w:t>对照</w:t>
      </w:r>
      <w:r>
        <w:t>动物的参数。</w:t>
      </w:r>
    </w:p>
    <w:p w14:paraId="3151FCF4">
      <w:pPr>
        <w:spacing w:line="276" w:lineRule="auto"/>
      </w:pPr>
      <w:bookmarkStart w:id="56" w:name="_Toc181626917"/>
      <w:bookmarkStart w:id="57" w:name="_Toc184293585"/>
      <w:r>
        <w:rPr>
          <w:rFonts w:hint="eastAsia" w:ascii="黑体" w:hAnsi="黑体" w:eastAsia="黑体" w:cs="黑体"/>
        </w:rPr>
        <w:t xml:space="preserve">6.5.3  </w:t>
      </w:r>
      <w:r>
        <w:rPr>
          <w:rFonts w:hint="eastAsia"/>
        </w:rPr>
        <w:t>影像学检查</w:t>
      </w:r>
      <w:bookmarkEnd w:id="56"/>
      <w:bookmarkEnd w:id="57"/>
      <w:r>
        <w:rPr>
          <w:rFonts w:hint="eastAsia"/>
        </w:rPr>
        <w:t>：</w:t>
      </w:r>
      <w:r>
        <w:t>在感染后的不同时间点，</w:t>
      </w:r>
      <w:r>
        <w:rPr>
          <w:rFonts w:hint="eastAsia"/>
        </w:rPr>
        <w:t>根据</w:t>
      </w:r>
      <w:r>
        <w:t>实验条件</w:t>
      </w:r>
      <w:r>
        <w:rPr>
          <w:rFonts w:hint="eastAsia"/>
        </w:rPr>
        <w:t>允许</w:t>
      </w:r>
      <w:r>
        <w:t>的情况</w:t>
      </w:r>
      <w:r>
        <w:rPr>
          <w:rFonts w:hint="eastAsia"/>
        </w:rPr>
        <w:t>选择性</w:t>
      </w:r>
      <w:r>
        <w:t>对实验动物进行 X 射线或 CT 检查，观察肺部阴影的变化。</w:t>
      </w:r>
      <w:r>
        <w:rPr>
          <w:rFonts w:hint="eastAsia"/>
        </w:rPr>
        <w:t>影像学检查评价方法见附录</w:t>
      </w:r>
      <w:r>
        <w:t>G</w:t>
      </w:r>
      <w:r>
        <w:rPr>
          <w:rFonts w:hint="eastAsia"/>
        </w:rPr>
        <w:t>。</w:t>
      </w:r>
    </w:p>
    <w:p w14:paraId="1156EE6F">
      <w:pPr>
        <w:pStyle w:val="10"/>
        <w:spacing w:after="156" w:afterLines="50" w:line="276" w:lineRule="auto"/>
        <w:ind w:left="420" w:firstLine="420" w:firstLineChars="200"/>
        <w:rPr>
          <w:rFonts w:ascii="Times New Roman" w:hAnsi="Times New Roman"/>
          <w:lang w:eastAsia="zh-CN"/>
        </w:rPr>
      </w:pPr>
      <w:r>
        <w:rPr>
          <w:rFonts w:hint="eastAsia" w:ascii="Times New Roman" w:hAnsi="Times New Roman"/>
          <w:lang w:eastAsia="zh-CN"/>
        </w:rPr>
        <w:br w:type="page"/>
      </w:r>
    </w:p>
    <w:p w14:paraId="78E5AEDE">
      <w:pPr>
        <w:pStyle w:val="137"/>
        <w:spacing w:line="276" w:lineRule="auto"/>
        <w:ind w:left="420"/>
        <w:rPr>
          <w:rFonts w:ascii="Times New Roman"/>
        </w:rPr>
      </w:pPr>
      <w:bookmarkStart w:id="58" w:name="_Toc181365920"/>
      <w:bookmarkStart w:id="59" w:name="_Toc184293587"/>
      <w:bookmarkStart w:id="60" w:name="_Toc182219900"/>
      <w:bookmarkStart w:id="61" w:name="_Toc181354867"/>
      <w:bookmarkStart w:id="62" w:name="_Toc181626928"/>
      <w:bookmarkStart w:id="63" w:name="_Toc30132"/>
      <w:bookmarkStart w:id="64" w:name="_Toc469992097"/>
      <w:bookmarkStart w:id="65" w:name="_Toc466361603"/>
      <w:bookmarkStart w:id="66" w:name="_Toc466470286"/>
      <w:bookmarkStart w:id="67" w:name="_Toc477247010"/>
      <w:bookmarkStart w:id="68" w:name="_Toc20366"/>
      <w:bookmarkStart w:id="69" w:name="BKCKWX"/>
      <w:bookmarkStart w:id="70" w:name="_Toc466470265"/>
      <w:r>
        <w:rPr>
          <w:rFonts w:ascii="Times New Roman"/>
        </w:rPr>
        <w:br w:type="textWrapping"/>
      </w:r>
      <w:bookmarkStart w:id="71" w:name="_Toc186818490"/>
      <w:r>
        <w:rPr>
          <w:rFonts w:hint="eastAsia" w:ascii="Times New Roman"/>
        </w:rPr>
        <w:t>（</w:t>
      </w:r>
      <w:r>
        <w:rPr>
          <w:rFonts w:ascii="Times New Roman"/>
        </w:rPr>
        <w:t>资料性）</w:t>
      </w:r>
      <w:r>
        <w:rPr>
          <w:rFonts w:ascii="Times New Roman"/>
        </w:rPr>
        <w:br w:type="textWrapping"/>
      </w:r>
      <w:r>
        <w:rPr>
          <w:rFonts w:hint="eastAsia" w:ascii="Times New Roman"/>
        </w:rPr>
        <w:t>动物</w:t>
      </w:r>
      <w:r>
        <w:rPr>
          <w:rFonts w:ascii="Times New Roman"/>
        </w:rPr>
        <w:t>脏器组织</w:t>
      </w:r>
      <w:r>
        <w:rPr>
          <w:rFonts w:hint="eastAsia" w:ascii="Times New Roman"/>
        </w:rPr>
        <w:t>DNA/</w:t>
      </w:r>
      <w:r>
        <w:rPr>
          <w:rFonts w:ascii="Times New Roman"/>
        </w:rPr>
        <w:t>RNA 的提取</w:t>
      </w:r>
      <w:bookmarkEnd w:id="58"/>
      <w:bookmarkEnd w:id="59"/>
      <w:bookmarkEnd w:id="60"/>
      <w:bookmarkEnd w:id="71"/>
      <w:r>
        <w:rPr>
          <w:rFonts w:hint="eastAsia" w:ascii="Times New Roman"/>
        </w:rPr>
        <w:br w:type="textWrapping"/>
      </w:r>
    </w:p>
    <w:p w14:paraId="7018B9A4">
      <w:pPr>
        <w:pStyle w:val="62"/>
        <w:numPr>
          <w:ilvl w:val="1"/>
          <w:numId w:val="0"/>
        </w:numPr>
        <w:spacing w:before="313" w:beforeLines="100" w:after="313" w:afterLines="100" w:line="276" w:lineRule="auto"/>
        <w:jc w:val="both"/>
        <w:rPr>
          <w:rFonts w:hAnsi="黑体" w:cs="黑体"/>
        </w:rPr>
      </w:pPr>
      <w:r>
        <w:rPr>
          <w:rFonts w:hint="eastAsia" w:hAnsi="黑体" w:cs="黑体"/>
        </w:rPr>
        <w:t>A.1 动物脏器组织DNA的提取</w:t>
      </w:r>
    </w:p>
    <w:p w14:paraId="3631B338">
      <w:pPr>
        <w:spacing w:line="276" w:lineRule="auto"/>
      </w:pPr>
      <w:r>
        <w:rPr>
          <w:rFonts w:hint="eastAsia" w:ascii="黑体" w:hAnsi="黑体" w:eastAsia="黑体" w:cs="黑体"/>
        </w:rPr>
        <w:t xml:space="preserve">A.1.1  </w:t>
      </w:r>
      <w:r>
        <w:rPr>
          <w:rFonts w:hint="eastAsia"/>
        </w:rPr>
        <w:t>组织匀浆</w:t>
      </w:r>
      <w:r>
        <w:t>：</w:t>
      </w:r>
      <w:r>
        <w:rPr>
          <w:rFonts w:hint="eastAsia"/>
        </w:rPr>
        <w:t>取</w:t>
      </w:r>
      <w:r>
        <w:t>黄豆大小的</w:t>
      </w:r>
      <w:r>
        <w:rPr>
          <w:rFonts w:hint="eastAsia"/>
        </w:rPr>
        <w:t>组织块</w:t>
      </w:r>
      <w:r>
        <w:t>，</w:t>
      </w:r>
      <w:r>
        <w:rPr>
          <w:rFonts w:hint="eastAsia"/>
        </w:rPr>
        <w:t>用</w:t>
      </w:r>
      <w:r>
        <w:t>1</w:t>
      </w:r>
      <w:r>
        <w:rPr>
          <w:rFonts w:hint="eastAsia"/>
        </w:rPr>
        <w:t xml:space="preserve"> mL</w:t>
      </w:r>
      <w:r>
        <w:t xml:space="preserve"> TE</w:t>
      </w:r>
      <w:r>
        <w:rPr>
          <w:rFonts w:hint="eastAsia"/>
        </w:rPr>
        <w:t>（</w:t>
      </w:r>
      <w:r>
        <w:t>10</w:t>
      </w:r>
      <w:r>
        <w:rPr>
          <w:rFonts w:hint="eastAsia"/>
        </w:rPr>
        <w:t xml:space="preserve"> mM</w:t>
      </w:r>
      <w:r>
        <w:t xml:space="preserve"> Tris·HCl，1</w:t>
      </w:r>
      <w:r>
        <w:rPr>
          <w:rFonts w:hint="eastAsia"/>
        </w:rPr>
        <w:t xml:space="preserve"> mM</w:t>
      </w:r>
      <w:r>
        <w:t xml:space="preserve"> EDTA</w:t>
      </w:r>
      <w:r>
        <w:rPr>
          <w:rFonts w:hint="eastAsia"/>
        </w:rPr>
        <w:t>）进行破碎匀浆</w:t>
      </w:r>
      <w:r>
        <w:t>。</w:t>
      </w:r>
    </w:p>
    <w:p w14:paraId="251E4928">
      <w:pPr>
        <w:spacing w:line="276" w:lineRule="auto"/>
      </w:pPr>
      <w:r>
        <w:rPr>
          <w:rFonts w:hint="eastAsia" w:ascii="黑体" w:hAnsi="黑体" w:eastAsia="黑体" w:cs="黑体"/>
        </w:rPr>
        <w:t xml:space="preserve">A.1.2  </w:t>
      </w:r>
      <w:r>
        <w:t>裂解细胞：加入200</w:t>
      </w:r>
      <w:r>
        <w:rPr>
          <w:rFonts w:hint="eastAsia"/>
        </w:rPr>
        <w:t xml:space="preserve"> </w:t>
      </w:r>
      <w:r>
        <w:rPr>
          <w:rFonts w:cs="Calibri"/>
        </w:rPr>
        <w:t>µ</w:t>
      </w:r>
      <w:r>
        <w:rPr>
          <w:rFonts w:hint="eastAsia"/>
        </w:rPr>
        <w:t>L</w:t>
      </w:r>
      <w:r>
        <w:t xml:space="preserve"> 10% SDS溶液，再加入10</w:t>
      </w:r>
      <w:r>
        <w:rPr>
          <w:rFonts w:hint="eastAsia"/>
        </w:rPr>
        <w:t xml:space="preserve"> </w:t>
      </w:r>
      <w:r>
        <w:rPr>
          <w:rFonts w:cs="Calibri"/>
        </w:rPr>
        <w:t>µ</w:t>
      </w:r>
      <w:r>
        <w:rPr>
          <w:rFonts w:hint="eastAsia"/>
        </w:rPr>
        <w:t>L</w:t>
      </w:r>
      <w:r>
        <w:t xml:space="preserve"> 20</w:t>
      </w:r>
      <w:r>
        <w:rPr>
          <w:rFonts w:hint="eastAsia"/>
        </w:rPr>
        <w:t xml:space="preserve"> mg</w:t>
      </w:r>
      <w:r>
        <w:t>/</w:t>
      </w:r>
      <w:r>
        <w:rPr>
          <w:rFonts w:hint="eastAsia"/>
        </w:rPr>
        <w:t xml:space="preserve"> mL</w:t>
      </w:r>
      <w:r>
        <w:t>蛋白酶K，37</w:t>
      </w:r>
      <w:r>
        <w:rPr>
          <w:rFonts w:hint="eastAsia" w:cs="宋体"/>
        </w:rPr>
        <w:t>℃</w:t>
      </w:r>
      <w:r>
        <w:t>水浴中温育1h。</w:t>
      </w:r>
    </w:p>
    <w:p w14:paraId="577EEDE2">
      <w:pPr>
        <w:spacing w:line="276" w:lineRule="auto"/>
      </w:pPr>
      <w:r>
        <w:rPr>
          <w:rFonts w:hint="eastAsia" w:ascii="黑体" w:hAnsi="黑体" w:eastAsia="黑体" w:cs="黑体"/>
        </w:rPr>
        <w:t xml:space="preserve">A.1.3  </w:t>
      </w:r>
      <w:r>
        <w:t>加入200</w:t>
      </w:r>
      <w:r>
        <w:rPr>
          <w:rFonts w:hint="eastAsia"/>
        </w:rPr>
        <w:t xml:space="preserve"> </w:t>
      </w:r>
      <w:r>
        <w:rPr>
          <w:rFonts w:cs="Calibri"/>
        </w:rPr>
        <w:t>µ</w:t>
      </w:r>
      <w:r>
        <w:rPr>
          <w:rFonts w:hint="eastAsia"/>
        </w:rPr>
        <w:t>L</w:t>
      </w:r>
      <w:r>
        <w:t xml:space="preserve"> 5 mol/L NaCl溶液，混匀后再加入200</w:t>
      </w:r>
      <w:r>
        <w:rPr>
          <w:rFonts w:hint="eastAsia"/>
        </w:rPr>
        <w:t xml:space="preserve"> </w:t>
      </w:r>
      <w:r>
        <w:rPr>
          <w:rFonts w:cs="Calibri"/>
        </w:rPr>
        <w:t>µ</w:t>
      </w:r>
      <w:r>
        <w:rPr>
          <w:rFonts w:hint="eastAsia"/>
        </w:rPr>
        <w:t>L</w:t>
      </w:r>
      <w:r>
        <w:t xml:space="preserve"> CTAB（十六烷基三乙基溴化铵）/NaCl溶液，65</w:t>
      </w:r>
      <w:r>
        <w:rPr>
          <w:rFonts w:hint="eastAsia" w:cs="宋体"/>
        </w:rPr>
        <w:t>℃</w:t>
      </w:r>
      <w:r>
        <w:t>水浴中温育20</w:t>
      </w:r>
      <w:r>
        <w:rPr>
          <w:rFonts w:hint="eastAsia"/>
        </w:rPr>
        <w:t xml:space="preserve"> min</w:t>
      </w:r>
      <w:r>
        <w:t>。</w:t>
      </w:r>
    </w:p>
    <w:p w14:paraId="15D4E05C">
      <w:pPr>
        <w:spacing w:line="276" w:lineRule="auto"/>
      </w:pPr>
      <w:r>
        <w:rPr>
          <w:rFonts w:hint="eastAsia" w:ascii="黑体" w:hAnsi="黑体" w:eastAsia="黑体" w:cs="黑体"/>
        </w:rPr>
        <w:t xml:space="preserve">A.1.4  </w:t>
      </w:r>
      <w:r>
        <w:t>加入等体积（约1.6</w:t>
      </w:r>
      <w:r>
        <w:rPr>
          <w:rFonts w:hint="eastAsia"/>
        </w:rPr>
        <w:t xml:space="preserve"> mL</w:t>
      </w:r>
      <w:r>
        <w:t>）苯酚/氯仿/异戊醇混合液，混匀，12000</w:t>
      </w:r>
      <w:r>
        <w:rPr>
          <w:rFonts w:hint="eastAsia"/>
        </w:rPr>
        <w:t xml:space="preserve"> rpm</w:t>
      </w:r>
      <w:r>
        <w:t>离心10</w:t>
      </w:r>
      <w:r>
        <w:rPr>
          <w:rFonts w:hint="eastAsia"/>
        </w:rPr>
        <w:t xml:space="preserve"> min</w:t>
      </w:r>
      <w:r>
        <w:t>。</w:t>
      </w:r>
    </w:p>
    <w:p w14:paraId="664FEF1B">
      <w:pPr>
        <w:spacing w:line="276" w:lineRule="auto"/>
      </w:pPr>
      <w:r>
        <w:rPr>
          <w:rFonts w:hint="eastAsia" w:ascii="黑体" w:hAnsi="黑体" w:eastAsia="黑体" w:cs="黑体"/>
        </w:rPr>
        <w:t xml:space="preserve">A.1.5  </w:t>
      </w:r>
      <w:r>
        <w:t>取上层水相至无菌离心管，再加入等体积的氯仿/异戊醇混合液，用移液器反复吹打混匀，12000</w:t>
      </w:r>
      <w:r>
        <w:rPr>
          <w:rFonts w:hint="eastAsia"/>
        </w:rPr>
        <w:t xml:space="preserve"> rpm</w:t>
      </w:r>
      <w:r>
        <w:t>离心5</w:t>
      </w:r>
      <w:r>
        <w:rPr>
          <w:rFonts w:hint="eastAsia"/>
        </w:rPr>
        <w:t xml:space="preserve"> min</w:t>
      </w:r>
      <w:r>
        <w:t>。</w:t>
      </w:r>
    </w:p>
    <w:p w14:paraId="1917D706">
      <w:pPr>
        <w:spacing w:line="276" w:lineRule="auto"/>
      </w:pPr>
      <w:r>
        <w:rPr>
          <w:rFonts w:hint="eastAsia" w:ascii="黑体" w:hAnsi="黑体" w:eastAsia="黑体" w:cs="黑体"/>
        </w:rPr>
        <w:t xml:space="preserve">A.1.6  </w:t>
      </w:r>
      <w:r>
        <w:t>将上层水相转移到新1.5</w:t>
      </w:r>
      <w:r>
        <w:rPr>
          <w:rFonts w:hint="eastAsia"/>
        </w:rPr>
        <w:t xml:space="preserve"> mL</w:t>
      </w:r>
      <w:r>
        <w:t>管中，加入2</w:t>
      </w:r>
      <w:r>
        <w:rPr>
          <w:rFonts w:hint="eastAsia"/>
        </w:rPr>
        <w:t xml:space="preserve"> </w:t>
      </w:r>
      <w:r>
        <w:rPr>
          <w:rFonts w:cs="Calibri"/>
        </w:rPr>
        <w:t>µ</w:t>
      </w:r>
      <w:r>
        <w:rPr>
          <w:rFonts w:hint="eastAsia"/>
        </w:rPr>
        <w:t>L</w:t>
      </w:r>
      <w:r>
        <w:t xml:space="preserve"> RNase A，37</w:t>
      </w:r>
      <w:r>
        <w:rPr>
          <w:rFonts w:hint="eastAsia" w:cs="宋体"/>
        </w:rPr>
        <w:t>℃</w:t>
      </w:r>
      <w:r>
        <w:t>水浴中温育30</w:t>
      </w:r>
      <w:r>
        <w:rPr>
          <w:rFonts w:hint="eastAsia"/>
        </w:rPr>
        <w:t xml:space="preserve"> min</w:t>
      </w:r>
      <w:r>
        <w:t>。</w:t>
      </w:r>
    </w:p>
    <w:p w14:paraId="5F42C9E1">
      <w:pPr>
        <w:spacing w:line="276" w:lineRule="auto"/>
      </w:pPr>
      <w:r>
        <w:rPr>
          <w:rFonts w:hint="eastAsia" w:ascii="黑体" w:hAnsi="黑体" w:eastAsia="黑体" w:cs="黑体"/>
        </w:rPr>
        <w:t xml:space="preserve">A.1.7  </w:t>
      </w:r>
      <w:r>
        <w:t>加入等体积的氯仿和异戊醇混合液，充分振荡，抽提残留在水相中的苯酚，12000</w:t>
      </w:r>
      <w:r>
        <w:rPr>
          <w:rFonts w:hint="eastAsia"/>
        </w:rPr>
        <w:t xml:space="preserve"> rpm</w:t>
      </w:r>
      <w:r>
        <w:t xml:space="preserve">离心5 </w:t>
      </w:r>
      <w:r>
        <w:rPr>
          <w:rFonts w:hint="eastAsia"/>
        </w:rPr>
        <w:t>min</w:t>
      </w:r>
      <w:r>
        <w:t>，将上清液移至新的1.5</w:t>
      </w:r>
      <w:r>
        <w:rPr>
          <w:rFonts w:hint="eastAsia"/>
        </w:rPr>
        <w:t xml:space="preserve"> mL</w:t>
      </w:r>
      <w:r>
        <w:t>管中。</w:t>
      </w:r>
    </w:p>
    <w:p w14:paraId="06BD4C89">
      <w:pPr>
        <w:spacing w:line="276" w:lineRule="auto"/>
      </w:pPr>
      <w:r>
        <w:rPr>
          <w:rFonts w:hint="eastAsia" w:ascii="黑体" w:hAnsi="黑体" w:eastAsia="黑体" w:cs="黑体"/>
        </w:rPr>
        <w:t xml:space="preserve">A.1.8  </w:t>
      </w:r>
      <w:r>
        <w:t>加入上清液1/10体积的3mol/L NaAc溶液，以及上清液2倍体积的无水乙醇，颠倒混匀以沉淀DNA。室温静置10 min，DNA形成白色（或淡黄色）絮状沉淀。</w:t>
      </w:r>
    </w:p>
    <w:p w14:paraId="1D93441D">
      <w:pPr>
        <w:spacing w:line="276" w:lineRule="auto"/>
      </w:pPr>
      <w:r>
        <w:rPr>
          <w:rFonts w:hint="eastAsia" w:ascii="黑体" w:hAnsi="黑体" w:eastAsia="黑体" w:cs="黑体"/>
        </w:rPr>
        <w:t xml:space="preserve">A.1.9  </w:t>
      </w:r>
      <w:r>
        <w:t>用移液器轻轻吸住白色絮状沉淀，将其转移到装有500</w:t>
      </w:r>
      <w:r>
        <w:rPr>
          <w:rFonts w:hint="eastAsia"/>
        </w:rPr>
        <w:t xml:space="preserve"> </w:t>
      </w:r>
      <w:r>
        <w:rPr>
          <w:rFonts w:cs="Calibri"/>
        </w:rPr>
        <w:t>µ</w:t>
      </w:r>
      <w:r>
        <w:rPr>
          <w:rFonts w:hint="eastAsia"/>
        </w:rPr>
        <w:t>L</w:t>
      </w:r>
      <w:r>
        <w:t xml:space="preserve"> 75%乙醇的1.5</w:t>
      </w:r>
      <w:r>
        <w:rPr>
          <w:rFonts w:hint="eastAsia"/>
        </w:rPr>
        <w:t xml:space="preserve"> mL</w:t>
      </w:r>
      <w:r>
        <w:t>离心管中。上下颠倒漂洗，洗去杂质，12000</w:t>
      </w:r>
      <w:r>
        <w:rPr>
          <w:rFonts w:hint="eastAsia"/>
        </w:rPr>
        <w:t xml:space="preserve"> rpm</w:t>
      </w:r>
      <w:r>
        <w:t>离心5 min。</w:t>
      </w:r>
    </w:p>
    <w:p w14:paraId="49D2A40A">
      <w:pPr>
        <w:spacing w:line="276" w:lineRule="auto"/>
      </w:pPr>
      <w:r>
        <w:rPr>
          <w:rFonts w:hint="eastAsia" w:ascii="黑体" w:hAnsi="黑体" w:eastAsia="黑体" w:cs="黑体"/>
        </w:rPr>
        <w:t xml:space="preserve">A.1.10  </w:t>
      </w:r>
      <w:r>
        <w:t>去上清液，沉淀干燥后溶解于适量（视所需浓度）TE或ddH2O中。</w:t>
      </w:r>
    </w:p>
    <w:p w14:paraId="332A506E">
      <w:pPr>
        <w:pStyle w:val="10"/>
        <w:spacing w:line="276" w:lineRule="auto"/>
        <w:ind w:left="420"/>
        <w:jc w:val="both"/>
        <w:rPr>
          <w:rFonts w:ascii="Times New Roman" w:hAnsi="Times New Roman"/>
          <w:lang w:eastAsia="zh-CN"/>
        </w:rPr>
      </w:pPr>
    </w:p>
    <w:p w14:paraId="26ACDE0F">
      <w:pPr>
        <w:pStyle w:val="62"/>
        <w:numPr>
          <w:ilvl w:val="1"/>
          <w:numId w:val="0"/>
        </w:numPr>
        <w:spacing w:before="313" w:beforeLines="100" w:after="313" w:afterLines="100" w:line="276" w:lineRule="auto"/>
        <w:jc w:val="both"/>
        <w:rPr>
          <w:rFonts w:hAnsi="黑体" w:cs="黑体"/>
        </w:rPr>
      </w:pPr>
      <w:r>
        <w:rPr>
          <w:rFonts w:hint="eastAsia" w:hAnsi="黑体" w:cs="黑体"/>
        </w:rPr>
        <w:t>A.2动物脏器组织RNA的提取</w:t>
      </w:r>
    </w:p>
    <w:p w14:paraId="0A4301CB">
      <w:pPr>
        <w:spacing w:line="276" w:lineRule="auto"/>
      </w:pPr>
      <w:r>
        <w:rPr>
          <w:rFonts w:hint="eastAsia" w:ascii="黑体" w:hAnsi="黑体" w:eastAsia="黑体" w:cs="黑体"/>
        </w:rPr>
        <w:t xml:space="preserve">A.2.1  </w:t>
      </w:r>
      <w:r>
        <w:t>动物新鲜组织称重后，加入 Trizol（100 mg/mL）</w:t>
      </w:r>
      <w:r>
        <w:rPr>
          <w:rFonts w:hint="eastAsia"/>
        </w:rPr>
        <w:t>后</w:t>
      </w:r>
      <w:r>
        <w:t>进行匀浆。</w:t>
      </w:r>
    </w:p>
    <w:p w14:paraId="1EB7928F">
      <w:pPr>
        <w:spacing w:line="276" w:lineRule="auto"/>
      </w:pPr>
      <w:r>
        <w:rPr>
          <w:rFonts w:hint="eastAsia" w:ascii="黑体" w:hAnsi="黑体" w:eastAsia="黑体" w:cs="黑体"/>
        </w:rPr>
        <w:t xml:space="preserve">A.2.2  </w:t>
      </w:r>
      <w:r>
        <w:t>加入 0.2 mL 氯仿，颠倒混匀数次，冰上静置 5 min，12 000 r/min，4</w:t>
      </w:r>
      <w:r>
        <w:rPr>
          <w:rFonts w:hint="eastAsia"/>
        </w:rPr>
        <w:t>℃</w:t>
      </w:r>
      <w:r>
        <w:t>离心 5 min。</w:t>
      </w:r>
    </w:p>
    <w:p w14:paraId="6C137C34">
      <w:pPr>
        <w:spacing w:line="276" w:lineRule="auto"/>
      </w:pPr>
      <w:r>
        <w:rPr>
          <w:rFonts w:hint="eastAsia" w:ascii="黑体" w:hAnsi="黑体" w:eastAsia="黑体" w:cs="黑体"/>
        </w:rPr>
        <w:t xml:space="preserve">A.2.3  </w:t>
      </w:r>
      <w:r>
        <w:t>吸取上层水相于新的离心管中，加入 0.5 mL 预冷的异丙醇，颠倒混匀后冰上静置10 min，12 0000 r/min，4</w:t>
      </w:r>
      <w:r>
        <w:rPr>
          <w:rFonts w:hint="eastAsia"/>
        </w:rPr>
        <w:t>℃</w:t>
      </w:r>
      <w:r>
        <w:t>离心 10 min。</w:t>
      </w:r>
    </w:p>
    <w:p w14:paraId="1321B43D">
      <w:pPr>
        <w:spacing w:line="276" w:lineRule="auto"/>
        <w:sectPr>
          <w:headerReference r:id="rId12" w:type="default"/>
          <w:footerReference r:id="rId14" w:type="default"/>
          <w:headerReference r:id="rId13" w:type="even"/>
          <w:footerReference r:id="rId15" w:type="even"/>
          <w:pgSz w:w="11905" w:h="16838"/>
          <w:pgMar w:top="1417" w:right="1417" w:bottom="1417" w:left="1417" w:header="850" w:footer="850" w:gutter="0"/>
          <w:cols w:space="0" w:num="1"/>
          <w:titlePg/>
          <w:docGrid w:type="lines" w:linePitch="313" w:charSpace="0"/>
        </w:sectPr>
      </w:pPr>
      <w:r>
        <w:rPr>
          <w:rFonts w:hint="eastAsia" w:ascii="黑体" w:hAnsi="黑体" w:eastAsia="黑体" w:cs="黑体"/>
        </w:rPr>
        <w:t xml:space="preserve">A.2.4  </w:t>
      </w:r>
      <w:r>
        <w:t>弃上清，加入 0.5 mL 的 75%乙醇洗涤沉淀，7500 r/min，4</w:t>
      </w:r>
      <w:r>
        <w:rPr>
          <w:rFonts w:hint="eastAsia"/>
        </w:rPr>
        <w:t>℃</w:t>
      </w:r>
      <w:r>
        <w:t>离心 5 min，倾去乙醇， 室温干燥，用适量 DEPC 水溶解 RNA，检测其纯度并于–80</w:t>
      </w:r>
      <w:r>
        <w:rPr>
          <w:rFonts w:hint="eastAsia"/>
        </w:rPr>
        <w:t>℃</w:t>
      </w:r>
      <w:r>
        <w:t>保存。</w:t>
      </w:r>
    </w:p>
    <w:p w14:paraId="3DF24CAB">
      <w:pPr>
        <w:pStyle w:val="137"/>
        <w:spacing w:line="276" w:lineRule="auto"/>
        <w:ind w:left="420"/>
        <w:rPr>
          <w:rFonts w:ascii="Times New Roman"/>
        </w:rPr>
      </w:pPr>
      <w:bookmarkStart w:id="72" w:name="_Toc184293588"/>
      <w:r>
        <w:rPr>
          <w:rFonts w:ascii="Times New Roman"/>
        </w:rPr>
        <w:br w:type="textWrapping"/>
      </w:r>
      <w:bookmarkStart w:id="73" w:name="_Toc186818491"/>
      <w:r>
        <w:rPr>
          <w:rFonts w:hint="eastAsia" w:ascii="Times New Roman"/>
        </w:rPr>
        <w:t>（资料性）</w:t>
      </w:r>
      <w:r>
        <w:rPr>
          <w:rFonts w:ascii="Times New Roman"/>
        </w:rPr>
        <w:br w:type="textWrapping"/>
      </w:r>
      <w:r>
        <w:rPr>
          <w:rFonts w:hint="eastAsia" w:ascii="Times New Roman"/>
        </w:rPr>
        <w:t>实时定量荧光PCR（qRT-PCR）检测方法</w:t>
      </w:r>
      <w:bookmarkEnd w:id="61"/>
      <w:bookmarkEnd w:id="62"/>
      <w:bookmarkEnd w:id="72"/>
      <w:bookmarkEnd w:id="73"/>
    </w:p>
    <w:p w14:paraId="52BAAEAC">
      <w:pPr>
        <w:spacing w:line="276" w:lineRule="auto"/>
      </w:pPr>
      <w:r>
        <w:rPr>
          <w:rFonts w:hint="eastAsia" w:ascii="黑体" w:hAnsi="黑体" w:eastAsia="黑体" w:cs="黑体"/>
        </w:rPr>
        <w:t xml:space="preserve">B.1  </w:t>
      </w:r>
      <w:r>
        <w:rPr>
          <w:rFonts w:hint="eastAsia"/>
        </w:rPr>
        <w:t xml:space="preserve">将组织用组织匀浆仪破碎充分后，按照 </w:t>
      </w:r>
      <w:r>
        <w:t xml:space="preserve">TRIzol </w:t>
      </w:r>
      <w:r>
        <w:rPr>
          <w:rFonts w:hint="eastAsia"/>
        </w:rPr>
        <w:t xml:space="preserve">裂解样品的方法提取样品中的核酸，提取得到的 </w:t>
      </w:r>
      <w:r>
        <w:t xml:space="preserve">RNA </w:t>
      </w:r>
      <w:r>
        <w:rPr>
          <w:rFonts w:hint="eastAsia"/>
        </w:rPr>
        <w:t xml:space="preserve">样品分别取 </w:t>
      </w:r>
      <w:r>
        <w:t xml:space="preserve">1 μg </w:t>
      </w:r>
      <w:r>
        <w:rPr>
          <w:rFonts w:hint="eastAsia"/>
        </w:rPr>
        <w:t xml:space="preserve">进行反转录，可采用 </w:t>
      </w:r>
      <w:r>
        <w:t xml:space="preserve">Vazyme </w:t>
      </w:r>
      <w:r>
        <w:rPr>
          <w:rFonts w:hint="eastAsia"/>
        </w:rPr>
        <w:t>公司生产的反转录试剂盒（</w:t>
      </w:r>
      <w:r>
        <w:t>HiScript® III RT SuperMix for qPCR (+gDNA wiper</w:t>
      </w:r>
      <w:r>
        <w:rPr>
          <w:rFonts w:hint="eastAsia"/>
        </w:rPr>
        <w:t xml:space="preserve">，货号 </w:t>
      </w:r>
      <w:r>
        <w:t>R323</w:t>
      </w:r>
      <w:r>
        <w:rPr>
          <w:rFonts w:hint="eastAsia"/>
        </w:rPr>
        <w:t xml:space="preserve">）进行 </w:t>
      </w:r>
      <w:r>
        <w:t xml:space="preserve">RNA </w:t>
      </w:r>
      <w:r>
        <w:rPr>
          <w:rFonts w:hint="eastAsia"/>
        </w:rPr>
        <w:t xml:space="preserve">反转录，反转体系如下： </w:t>
      </w:r>
    </w:p>
    <w:p w14:paraId="16084CAF">
      <w:pPr>
        <w:spacing w:line="276" w:lineRule="auto"/>
        <w:ind w:left="420" w:firstLine="420" w:firstLineChars="200"/>
        <w:rPr>
          <w:szCs w:val="21"/>
        </w:rPr>
      </w:pPr>
      <w:r>
        <w:rPr>
          <w:szCs w:val="21"/>
        </w:rPr>
        <w:drawing>
          <wp:inline distT="0" distB="0" distL="0" distR="0">
            <wp:extent cx="5044440" cy="1455420"/>
            <wp:effectExtent l="0" t="0" r="0" b="0"/>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044440" cy="1455420"/>
                    </a:xfrm>
                    <a:prstGeom prst="rect">
                      <a:avLst/>
                    </a:prstGeom>
                    <a:noFill/>
                    <a:ln>
                      <a:noFill/>
                    </a:ln>
                  </pic:spPr>
                </pic:pic>
              </a:graphicData>
            </a:graphic>
          </wp:inline>
        </w:drawing>
      </w:r>
    </w:p>
    <w:p w14:paraId="5C15DFE6">
      <w:pPr>
        <w:spacing w:line="276" w:lineRule="auto"/>
        <w:ind w:firstLine="420" w:firstLineChars="200"/>
      </w:pPr>
      <w:r>
        <w:rPr>
          <w:rFonts w:hint="eastAsia"/>
        </w:rPr>
        <w:t xml:space="preserve">将上述体系充分混匀， </w:t>
      </w:r>
      <w:r>
        <w:t>42</w:t>
      </w:r>
      <w:r>
        <w:rPr>
          <w:rFonts w:hint="eastAsia"/>
        </w:rPr>
        <w:t xml:space="preserve">℃水浴 </w:t>
      </w:r>
      <w:r>
        <w:t xml:space="preserve">2 min </w:t>
      </w:r>
      <w:r>
        <w:rPr>
          <w:rFonts w:hint="eastAsia"/>
        </w:rPr>
        <w:t xml:space="preserve">去除样品中可能存在的 </w:t>
      </w:r>
      <w:r>
        <w:t>gDNA</w:t>
      </w:r>
      <w:r>
        <w:rPr>
          <w:rFonts w:hint="eastAsia"/>
        </w:rPr>
        <w:t xml:space="preserve">。 </w:t>
      </w:r>
    </w:p>
    <w:p w14:paraId="44361859">
      <w:pPr>
        <w:spacing w:line="276" w:lineRule="auto"/>
      </w:pPr>
      <w:r>
        <w:rPr>
          <w:rFonts w:hint="eastAsia" w:ascii="黑体" w:hAnsi="黑体" w:eastAsia="黑体" w:cs="黑体"/>
        </w:rPr>
        <w:t xml:space="preserve">B.2  </w:t>
      </w:r>
      <w:r>
        <w:rPr>
          <w:rFonts w:hint="eastAsia"/>
        </w:rPr>
        <w:t xml:space="preserve">在上述所得样品中加入 </w:t>
      </w:r>
      <w:r>
        <w:t>5 × HiScript III qRT SuperMix 4 μL</w:t>
      </w:r>
      <w:r>
        <w:rPr>
          <w:rFonts w:hint="eastAsia"/>
        </w:rPr>
        <w:t>，</w:t>
      </w:r>
      <w:r>
        <w:t xml:space="preserve">37 </w:t>
      </w:r>
      <w:r>
        <w:rPr>
          <w:rFonts w:hint="eastAsia"/>
        </w:rPr>
        <w:t xml:space="preserve">℃反应 </w:t>
      </w:r>
      <w:r>
        <w:t>15 min</w:t>
      </w:r>
      <w:r>
        <w:rPr>
          <w:rFonts w:hint="eastAsia"/>
        </w:rPr>
        <w:t xml:space="preserve">，之后 </w:t>
      </w:r>
      <w:r>
        <w:t>85</w:t>
      </w:r>
      <w:r>
        <w:rPr>
          <w:rFonts w:hint="eastAsia"/>
        </w:rPr>
        <w:t xml:space="preserve">℃ 反应 </w:t>
      </w:r>
      <w:r>
        <w:t>5 sec</w:t>
      </w:r>
      <w:r>
        <w:rPr>
          <w:rFonts w:hint="eastAsia"/>
        </w:rPr>
        <w:t xml:space="preserve">，既可转录得到 </w:t>
      </w:r>
      <w:r>
        <w:t>cDNA</w:t>
      </w:r>
      <w:r>
        <w:rPr>
          <w:rFonts w:hint="eastAsia"/>
        </w:rPr>
        <w:t xml:space="preserve">。 </w:t>
      </w:r>
    </w:p>
    <w:p w14:paraId="3D68D53B">
      <w:pPr>
        <w:spacing w:line="276" w:lineRule="auto"/>
      </w:pPr>
      <w:r>
        <w:rPr>
          <w:rFonts w:hint="eastAsia" w:ascii="黑体" w:hAnsi="黑体" w:eastAsia="黑体" w:cs="黑体"/>
        </w:rPr>
        <w:t xml:space="preserve">B.3  </w:t>
      </w:r>
      <w:r>
        <w:rPr>
          <w:rFonts w:hint="eastAsia"/>
        </w:rPr>
        <w:t xml:space="preserve">荧光定量 </w:t>
      </w:r>
      <w:r>
        <w:t xml:space="preserve">PCR </w:t>
      </w:r>
      <w:r>
        <w:rPr>
          <w:rFonts w:hint="eastAsia"/>
        </w:rPr>
        <w:t xml:space="preserve">可采用 </w:t>
      </w:r>
      <w:r>
        <w:t>Taq Pro Universal SYBR qPCR Master Mix (Vazyme</w:t>
      </w:r>
      <w:r>
        <w:rPr>
          <w:rFonts w:hint="eastAsia"/>
        </w:rPr>
        <w:t>，</w:t>
      </w:r>
      <w:r>
        <w:t>Q712)</w:t>
      </w:r>
      <w:r>
        <w:rPr>
          <w:rFonts w:hint="eastAsia"/>
        </w:rPr>
        <w:t xml:space="preserve">混好反应体系，在 </w:t>
      </w:r>
      <w:r>
        <w:t xml:space="preserve">StepOne Plus Real-time PCR </w:t>
      </w:r>
      <w:r>
        <w:rPr>
          <w:rFonts w:hint="eastAsia"/>
        </w:rPr>
        <w:t>仪（品牌：</w:t>
      </w:r>
      <w:r>
        <w:t>ABI</w:t>
      </w:r>
      <w:r>
        <w:rPr>
          <w:rFonts w:hint="eastAsia"/>
        </w:rPr>
        <w:t xml:space="preserve">）进行扩增反应和读数。 </w:t>
      </w:r>
    </w:p>
    <w:p w14:paraId="55D815C8">
      <w:pPr>
        <w:spacing w:line="276" w:lineRule="auto"/>
        <w:ind w:firstLine="420" w:firstLineChars="200"/>
      </w:pPr>
      <w:r>
        <w:t>1</w:t>
      </w:r>
      <w:r>
        <w:rPr>
          <w:rFonts w:hint="eastAsia"/>
        </w:rPr>
        <w:t>）使用</w:t>
      </w:r>
      <w:r>
        <w:t>炎症因子特异性</w:t>
      </w:r>
      <w:r>
        <w:rPr>
          <w:rFonts w:hint="eastAsia"/>
        </w:rPr>
        <w:t>引物</w:t>
      </w:r>
    </w:p>
    <w:p w14:paraId="5392D48F">
      <w:pPr>
        <w:spacing w:line="276" w:lineRule="auto"/>
        <w:ind w:firstLine="420" w:firstLineChars="200"/>
      </w:pPr>
      <w:r>
        <w:t>2</w:t>
      </w:r>
      <w:r>
        <w:rPr>
          <w:rFonts w:hint="eastAsia"/>
        </w:rPr>
        <w:t xml:space="preserve">）反应程序如下： </w:t>
      </w:r>
    </w:p>
    <w:p w14:paraId="20B1F8FB">
      <w:pPr>
        <w:spacing w:line="276" w:lineRule="auto"/>
        <w:ind w:firstLine="420" w:firstLineChars="200"/>
      </w:pPr>
      <w:r>
        <w:rPr>
          <w:rFonts w:hint="eastAsia"/>
        </w:rPr>
        <w:t>预变性：</w:t>
      </w:r>
      <w:r>
        <w:t>95</w:t>
      </w:r>
      <w:r>
        <w:rPr>
          <w:rFonts w:hint="eastAsia"/>
        </w:rPr>
        <w:t xml:space="preserve">℃ </w:t>
      </w:r>
      <w:r>
        <w:t xml:space="preserve">5 </w:t>
      </w:r>
      <w:r>
        <w:rPr>
          <w:rFonts w:hint="eastAsia"/>
        </w:rPr>
        <w:t xml:space="preserve">分钟； </w:t>
      </w:r>
    </w:p>
    <w:p w14:paraId="0461BF59">
      <w:pPr>
        <w:spacing w:line="276" w:lineRule="auto"/>
        <w:ind w:firstLine="420" w:firstLineChars="200"/>
        <w:sectPr>
          <w:pgSz w:w="11905" w:h="16838"/>
          <w:pgMar w:top="1417" w:right="1417" w:bottom="1417" w:left="1417" w:header="850" w:footer="850" w:gutter="0"/>
          <w:cols w:space="0" w:num="1"/>
          <w:docGrid w:type="lines" w:linePitch="313" w:charSpace="0"/>
        </w:sectPr>
      </w:pPr>
      <w:r>
        <w:rPr>
          <w:rFonts w:hint="eastAsia"/>
        </w:rPr>
        <w:t>循环参数：</w:t>
      </w:r>
      <w:r>
        <w:t>95</w:t>
      </w:r>
      <w:r>
        <w:rPr>
          <w:rFonts w:hint="eastAsia"/>
        </w:rPr>
        <w:t xml:space="preserve">℃ </w:t>
      </w:r>
      <w:r>
        <w:t xml:space="preserve">15 </w:t>
      </w:r>
      <w:r>
        <w:rPr>
          <w:rFonts w:hint="eastAsia"/>
        </w:rPr>
        <w:t>秒，</w:t>
      </w:r>
      <w:r>
        <w:t>54</w:t>
      </w:r>
      <w:r>
        <w:rPr>
          <w:rFonts w:hint="eastAsia"/>
        </w:rPr>
        <w:t xml:space="preserve">℃ </w:t>
      </w:r>
      <w:r>
        <w:t xml:space="preserve">15 </w:t>
      </w:r>
      <w:r>
        <w:rPr>
          <w:rFonts w:hint="eastAsia"/>
        </w:rPr>
        <w:t>秒，</w:t>
      </w:r>
      <w:r>
        <w:t>72</w:t>
      </w:r>
      <w:r>
        <w:rPr>
          <w:rFonts w:hint="eastAsia"/>
        </w:rPr>
        <w:t xml:space="preserve">℃ </w:t>
      </w:r>
      <w:r>
        <w:t xml:space="preserve">30 </w:t>
      </w:r>
      <w:r>
        <w:rPr>
          <w:rFonts w:hint="eastAsia"/>
        </w:rPr>
        <w:t xml:space="preserve">秒。共 </w:t>
      </w:r>
      <w:r>
        <w:t xml:space="preserve">40 </w:t>
      </w:r>
      <w:r>
        <w:rPr>
          <w:rFonts w:hint="eastAsia"/>
        </w:rPr>
        <w:t>个循环。</w:t>
      </w:r>
    </w:p>
    <w:p w14:paraId="75230AE0">
      <w:pPr>
        <w:pStyle w:val="137"/>
        <w:spacing w:line="276" w:lineRule="auto"/>
        <w:ind w:left="420"/>
        <w:rPr>
          <w:rFonts w:ascii="Times New Roman"/>
        </w:rPr>
      </w:pPr>
      <w:bookmarkStart w:id="74" w:name="_Toc184293589"/>
      <w:r>
        <w:rPr>
          <w:rFonts w:ascii="Times New Roman"/>
        </w:rPr>
        <w:br w:type="textWrapping"/>
      </w:r>
      <w:bookmarkStart w:id="75" w:name="_Toc186818492"/>
      <w:r>
        <w:rPr>
          <w:rFonts w:hint="eastAsia" w:ascii="Times New Roman"/>
        </w:rPr>
        <w:t>（资料性）</w:t>
      </w:r>
      <w:r>
        <w:rPr>
          <w:rFonts w:ascii="Times New Roman"/>
        </w:rPr>
        <w:br w:type="textWrapping"/>
      </w:r>
      <w:r>
        <w:rPr>
          <w:rFonts w:hint="eastAsia" w:ascii="Times New Roman"/>
        </w:rPr>
        <w:t>病毒滴度测定和</w:t>
      </w:r>
      <w:r>
        <w:rPr>
          <w:rFonts w:ascii="Times New Roman"/>
        </w:rPr>
        <w:t>计算</w:t>
      </w:r>
      <w:r>
        <w:rPr>
          <w:rFonts w:hint="eastAsia" w:ascii="Times New Roman"/>
        </w:rPr>
        <w:t>方法</w:t>
      </w:r>
      <w:bookmarkEnd w:id="74"/>
      <w:bookmarkEnd w:id="75"/>
    </w:p>
    <w:p w14:paraId="321A6DCF">
      <w:pPr>
        <w:pStyle w:val="62"/>
        <w:numPr>
          <w:ilvl w:val="1"/>
          <w:numId w:val="0"/>
        </w:numPr>
        <w:spacing w:before="313" w:beforeLines="100" w:after="313" w:afterLines="100" w:line="276" w:lineRule="auto"/>
        <w:jc w:val="both"/>
        <w:rPr>
          <w:rFonts w:hAnsi="黑体" w:cs="黑体"/>
        </w:rPr>
      </w:pPr>
      <w:r>
        <w:rPr>
          <w:rFonts w:hint="eastAsia" w:hAnsi="黑体" w:cs="黑体"/>
        </w:rPr>
        <w:t>C.1  细胞接种</w:t>
      </w:r>
    </w:p>
    <w:p w14:paraId="09F6EE58">
      <w:pPr>
        <w:spacing w:line="276" w:lineRule="auto"/>
        <w:ind w:firstLine="420" w:firstLineChars="200"/>
      </w:pPr>
      <w:r>
        <w:rPr>
          <w:rFonts w:hint="eastAsia"/>
        </w:rPr>
        <w:t>用胰酶消化对数期细胞，制成细胞悬液，细胞计数调整其浓度至</w:t>
      </w:r>
      <w:r>
        <w:t xml:space="preserve"> 1×10</w:t>
      </w:r>
      <w:r>
        <w:rPr>
          <w:vertAlign w:val="superscript"/>
        </w:rPr>
        <w:t>5</w:t>
      </w:r>
      <w:r>
        <w:t xml:space="preserve"> 个/mL。</w:t>
      </w:r>
    </w:p>
    <w:p w14:paraId="47F44A7C">
      <w:pPr>
        <w:spacing w:line="276" w:lineRule="auto"/>
        <w:ind w:firstLine="420" w:firstLineChars="200"/>
      </w:pPr>
      <w:r>
        <w:rPr>
          <w:rFonts w:hint="eastAsia"/>
        </w:rPr>
        <w:t>将</w:t>
      </w:r>
      <w:r>
        <w:t>细胞接</w:t>
      </w:r>
      <w:r>
        <w:rPr>
          <w:rFonts w:hint="eastAsia"/>
        </w:rPr>
        <w:t>种于</w:t>
      </w:r>
      <w:r>
        <w:t xml:space="preserve"> 96 孔板，每孔加入 100 μL，于 37</w:t>
      </w:r>
      <w:r>
        <w:rPr>
          <w:rFonts w:hint="eastAsia"/>
        </w:rPr>
        <w:t>℃</w:t>
      </w:r>
      <w:r>
        <w:t>、5%CO 2 培养箱中培养 24 h</w:t>
      </w:r>
      <w:r>
        <w:rPr>
          <w:rFonts w:hint="eastAsia"/>
        </w:rPr>
        <w:t>。</w:t>
      </w:r>
    </w:p>
    <w:p w14:paraId="0C73EE6D">
      <w:pPr>
        <w:pStyle w:val="62"/>
        <w:numPr>
          <w:ilvl w:val="1"/>
          <w:numId w:val="0"/>
        </w:numPr>
        <w:spacing w:before="313" w:beforeLines="100" w:after="313" w:afterLines="100" w:line="276" w:lineRule="auto"/>
        <w:jc w:val="both"/>
        <w:rPr>
          <w:rFonts w:hAnsi="黑体" w:cs="黑体"/>
        </w:rPr>
      </w:pPr>
      <w:r>
        <w:rPr>
          <w:rFonts w:hint="eastAsia" w:hAnsi="黑体" w:cs="黑体"/>
        </w:rPr>
        <w:t>C.2  滴定</w:t>
      </w:r>
    </w:p>
    <w:p w14:paraId="25C64D7C">
      <w:pPr>
        <w:spacing w:line="276" w:lineRule="auto"/>
      </w:pPr>
      <w:r>
        <w:rPr>
          <w:rFonts w:hint="eastAsia" w:ascii="黑体" w:hAnsi="黑体" w:eastAsia="黑体" w:cs="黑体"/>
        </w:rPr>
        <w:t xml:space="preserve">C.2.1  </w:t>
      </w:r>
      <w:r>
        <w:rPr>
          <w:rFonts w:hint="eastAsia"/>
        </w:rPr>
        <w:t>将</w:t>
      </w:r>
      <w:r>
        <w:t>肺组织匀浆后离心取</w:t>
      </w:r>
      <w:r>
        <w:rPr>
          <w:rFonts w:hint="eastAsia"/>
        </w:rPr>
        <w:t>上清</w:t>
      </w:r>
      <w:r>
        <w:t>，将上清</w:t>
      </w:r>
      <w:r>
        <w:rPr>
          <w:rFonts w:hint="eastAsia"/>
        </w:rPr>
        <w:t>进行</w:t>
      </w:r>
      <w:r>
        <w:t xml:space="preserve"> 10 倍</w:t>
      </w:r>
      <w:r>
        <w:rPr>
          <w:rFonts w:hint="eastAsia"/>
        </w:rPr>
        <w:t>梯度</w:t>
      </w:r>
      <w:r>
        <w:t>稀释</w:t>
      </w:r>
      <w:r>
        <w:rPr>
          <w:rFonts w:hint="eastAsia"/>
        </w:rPr>
        <w:t>；</w:t>
      </w:r>
    </w:p>
    <w:p w14:paraId="68EBDAC5">
      <w:pPr>
        <w:spacing w:line="276" w:lineRule="auto"/>
      </w:pPr>
      <w:r>
        <w:rPr>
          <w:rFonts w:hint="eastAsia" w:ascii="黑体" w:hAnsi="黑体" w:eastAsia="黑体" w:cs="黑体"/>
        </w:rPr>
        <w:t xml:space="preserve">C.2.2  </w:t>
      </w:r>
      <w:r>
        <w:t>分别按照不同稀释度接种到 D.1 中的细胞培养板中，每孔</w:t>
      </w:r>
      <w:r>
        <w:rPr>
          <w:rFonts w:hint="eastAsia"/>
        </w:rPr>
        <w:t>接种</w:t>
      </w:r>
      <w:r>
        <w:t>100 µL，每个稀释度至少 8 个复孔，同时做无病毒对照。将加好病毒的培养板置于 37</w:t>
      </w:r>
      <w:r>
        <w:rPr>
          <w:rFonts w:hint="eastAsia"/>
        </w:rPr>
        <w:t>℃</w:t>
      </w:r>
      <w:r>
        <w:t>、5% CO</w:t>
      </w:r>
      <w:r>
        <w:rPr>
          <w:vertAlign w:val="subscript"/>
        </w:rPr>
        <w:t xml:space="preserve">2 </w:t>
      </w:r>
      <w:r>
        <w:t>培养箱中培养，逐日观察并记录。</w:t>
      </w:r>
    </w:p>
    <w:p w14:paraId="42CCF53A">
      <w:pPr>
        <w:pStyle w:val="62"/>
        <w:numPr>
          <w:ilvl w:val="1"/>
          <w:numId w:val="0"/>
        </w:numPr>
        <w:spacing w:before="313" w:beforeLines="100" w:after="313" w:afterLines="100" w:line="276" w:lineRule="auto"/>
        <w:jc w:val="both"/>
        <w:rPr>
          <w:rFonts w:hAnsi="黑体" w:cs="黑体"/>
        </w:rPr>
      </w:pPr>
      <w:r>
        <w:rPr>
          <w:rFonts w:hint="eastAsia" w:hAnsi="黑体" w:cs="黑体"/>
        </w:rPr>
        <w:t>C.3  观察并统计细胞感染情况</w:t>
      </w:r>
    </w:p>
    <w:p w14:paraId="0EC42CA3">
      <w:pPr>
        <w:spacing w:line="276" w:lineRule="auto"/>
      </w:pPr>
      <w:r>
        <w:rPr>
          <w:rFonts w:hint="eastAsia" w:ascii="黑体" w:hAnsi="黑体" w:eastAsia="黑体" w:cs="黑体"/>
        </w:rPr>
        <w:t xml:space="preserve">C.3.1  </w:t>
      </w:r>
      <w:r>
        <w:rPr>
          <w:rFonts w:hint="eastAsia"/>
        </w:rPr>
        <w:t>观察细胞病变情况并记录：分别计算“无病变（–）”和“有病变（</w:t>
      </w:r>
      <w:r>
        <w:t>+）”</w:t>
      </w:r>
      <w:r>
        <w:rPr>
          <w:rFonts w:hint="eastAsia"/>
        </w:rPr>
        <w:t>的情况。</w:t>
      </w:r>
    </w:p>
    <w:p w14:paraId="40758CF0">
      <w:pPr>
        <w:spacing w:line="276" w:lineRule="auto"/>
      </w:pPr>
      <w:r>
        <w:rPr>
          <w:rFonts w:hint="eastAsia" w:ascii="黑体" w:hAnsi="黑体" w:eastAsia="黑体" w:cs="黑体"/>
        </w:rPr>
        <w:t xml:space="preserve">C.3.2  </w:t>
      </w:r>
      <w:r>
        <w:rPr>
          <w:rFonts w:hint="eastAsia"/>
        </w:rPr>
        <w:t>免疫荧光检测</w:t>
      </w:r>
      <w:r>
        <w:t>病毒抗原</w:t>
      </w:r>
      <w:r>
        <w:rPr>
          <w:rFonts w:hint="eastAsia"/>
        </w:rPr>
        <w:t>表达情况：将感染</w:t>
      </w:r>
      <w:r>
        <w:t>后的细胞用4%多聚甲醛</w:t>
      </w:r>
      <w:r>
        <w:rPr>
          <w:rFonts w:hint="eastAsia"/>
        </w:rPr>
        <w:t>固定</w:t>
      </w:r>
      <w:r>
        <w:t>，进行免疫荧光检测。</w:t>
      </w:r>
      <w:r>
        <w:rPr>
          <w:rFonts w:hint="eastAsia"/>
        </w:rPr>
        <w:t>固定后</w:t>
      </w:r>
      <w:r>
        <w:t>用PBS清洗3遍，每次10 min；</w:t>
      </w:r>
      <w:r>
        <w:rPr>
          <w:rFonts w:hint="eastAsia"/>
        </w:rPr>
        <w:t>用</w:t>
      </w:r>
      <w:r>
        <w:t>0.2 % Triton-X-100透化10 min后，用PBS清洗3遍，每次10 min；5 % BSA封闭30 min后，PBS清洗3遍，每次10 min；</w:t>
      </w:r>
      <w:r>
        <w:rPr>
          <w:rFonts w:hint="eastAsia"/>
        </w:rPr>
        <w:t>用</w:t>
      </w:r>
      <w:r>
        <w:t>合适比例的</w:t>
      </w:r>
      <w:r>
        <w:rPr>
          <w:rFonts w:hint="eastAsia"/>
        </w:rPr>
        <w:t>抗</w:t>
      </w:r>
      <w:r>
        <w:t>病毒蛋白的抗体4</w:t>
      </w:r>
      <w:r>
        <w:rPr>
          <w:rFonts w:hint="eastAsia"/>
        </w:rPr>
        <w:t>℃</w:t>
      </w:r>
      <w:r>
        <w:t>过夜孵育，再用PBS清洗3遍，每次10 min；荧光二抗孵育1 h后，PBS清洗3遍，每次10 min；荧光显微镜下观察每个稀释度下有</w:t>
      </w:r>
      <w:r>
        <w:rPr>
          <w:rFonts w:hint="eastAsia"/>
        </w:rPr>
        <w:t>无</w:t>
      </w:r>
      <w:r>
        <w:t>荧光的孔数，</w:t>
      </w:r>
      <w:r>
        <w:rPr>
          <w:rFonts w:hint="eastAsia"/>
        </w:rPr>
        <w:t>分别计算“无荧光（–）”和“有荧光（</w:t>
      </w:r>
      <w:r>
        <w:t>+）”</w:t>
      </w:r>
      <w:r>
        <w:rPr>
          <w:rFonts w:hint="eastAsia"/>
        </w:rPr>
        <w:t>的情况。</w:t>
      </w:r>
    </w:p>
    <w:p w14:paraId="2DB1C000">
      <w:pPr>
        <w:pStyle w:val="62"/>
        <w:numPr>
          <w:ilvl w:val="1"/>
          <w:numId w:val="0"/>
        </w:numPr>
        <w:spacing w:before="313" w:beforeLines="100" w:after="313" w:afterLines="100" w:line="276" w:lineRule="auto"/>
        <w:jc w:val="both"/>
        <w:rPr>
          <w:rFonts w:hAnsi="黑体" w:cs="黑体"/>
        </w:rPr>
      </w:pPr>
      <w:r>
        <w:rPr>
          <w:rFonts w:hint="eastAsia" w:hAnsi="黑体" w:cs="黑体"/>
        </w:rPr>
        <w:t>C.4  计算病毒滴度</w:t>
      </w:r>
    </w:p>
    <w:p w14:paraId="26AAAE6F">
      <w:pPr>
        <w:pStyle w:val="62"/>
        <w:numPr>
          <w:ilvl w:val="1"/>
          <w:numId w:val="0"/>
        </w:numPr>
        <w:spacing w:before="313" w:beforeLines="100" w:after="313" w:afterLines="100" w:line="276" w:lineRule="auto"/>
        <w:jc w:val="both"/>
        <w:rPr>
          <w:rFonts w:hAnsi="黑体" w:cs="黑体"/>
        </w:rPr>
      </w:pPr>
      <w:r>
        <w:rPr>
          <w:rFonts w:hint="eastAsia" w:hAnsi="黑体" w:cs="黑体"/>
        </w:rPr>
        <w:t>C.4.1  用Reed &amp; Muench法计算TCID</w:t>
      </w:r>
      <w:r>
        <w:rPr>
          <w:rFonts w:hint="eastAsia" w:hAnsi="黑体" w:cs="黑体"/>
          <w:vertAlign w:val="subscript"/>
        </w:rPr>
        <w:t>50</w:t>
      </w:r>
      <w:r>
        <w:rPr>
          <w:rFonts w:hint="eastAsia" w:hAnsi="黑体" w:cs="黑体"/>
        </w:rPr>
        <w:t>：</w:t>
      </w:r>
    </w:p>
    <w:p w14:paraId="35CF8658">
      <w:pPr>
        <w:spacing w:line="276" w:lineRule="auto"/>
        <w:ind w:firstLine="420" w:firstLineChars="200"/>
      </w:pPr>
      <w:r>
        <w:rPr>
          <w:rFonts w:hint="eastAsia"/>
        </w:rPr>
        <w:t>计算“无感染/荧光（–）”累积值时，由稀释度低样本组向稀释度高样本组累积，“有病变/荧光（</w:t>
      </w:r>
      <w:r>
        <w:t>+）”累积值则由稀释度高样本组向稀释度低样本组累积。</w:t>
      </w:r>
      <w:r>
        <w:rPr>
          <w:rFonts w:hint="eastAsia"/>
        </w:rPr>
        <w:t>各稀释度样本组“有病变/荧光（</w:t>
      </w:r>
      <w:r>
        <w:t>+）”累积总计值除以该稀释度样本组所有累积总计值之</w:t>
      </w:r>
      <w:r>
        <w:rPr>
          <w:rFonts w:hint="eastAsia"/>
        </w:rPr>
        <w:t>和即为病变比，可得感染率（</w:t>
      </w:r>
      <w:r>
        <w:t>%）。</w:t>
      </w:r>
      <w:r>
        <w:rPr>
          <w:rFonts w:hint="eastAsia"/>
        </w:rPr>
        <w:t>感染率高于</w:t>
      </w:r>
      <w:r>
        <w:t xml:space="preserve"> 50%组指超过 50%最低组，下简称“高于 50%组”；</w:t>
      </w:r>
      <w:r>
        <w:rPr>
          <w:rFonts w:hint="eastAsia"/>
        </w:rPr>
        <w:t>感染</w:t>
      </w:r>
      <w:r>
        <w:t>率低于 50%组</w:t>
      </w:r>
      <w:r>
        <w:rPr>
          <w:rFonts w:hint="eastAsia"/>
        </w:rPr>
        <w:t>指低于</w:t>
      </w:r>
      <w:r>
        <w:t xml:space="preserve"> 50%最高组，下简称“低于 50%组”</w:t>
      </w:r>
      <w:r>
        <w:rPr>
          <w:rFonts w:hint="eastAsia"/>
        </w:rPr>
        <w:t>。</w:t>
      </w:r>
    </w:p>
    <w:p w14:paraId="415AFAD8">
      <w:pPr>
        <w:pStyle w:val="62"/>
        <w:numPr>
          <w:ilvl w:val="1"/>
          <w:numId w:val="0"/>
        </w:numPr>
        <w:spacing w:before="313" w:beforeLines="100" w:after="313" w:afterLines="100" w:line="276" w:lineRule="auto"/>
        <w:jc w:val="both"/>
        <w:rPr>
          <w:rFonts w:hAnsi="黑体" w:cs="黑体"/>
        </w:rPr>
      </w:pPr>
      <w:r>
        <w:rPr>
          <w:rFonts w:hint="eastAsia" w:hAnsi="黑体" w:cs="黑体"/>
        </w:rPr>
        <w:t>C.4.2  计算公式如下：</w:t>
      </w:r>
    </w:p>
    <w:p w14:paraId="162F41CB">
      <w:pPr>
        <w:spacing w:line="276" w:lineRule="auto"/>
        <w:ind w:left="420"/>
      </w:pPr>
      <w:r>
        <w:t xml:space="preserve">TCID </w:t>
      </w:r>
      <w:r>
        <w:rPr>
          <w:vertAlign w:val="subscript"/>
        </w:rPr>
        <w:t>50</w:t>
      </w:r>
      <w:r>
        <w:t xml:space="preserve"> 对数值=</w:t>
      </w:r>
      <w:r>
        <w:rPr>
          <w:rFonts w:hint="eastAsia"/>
        </w:rPr>
        <w:t>感染</w:t>
      </w:r>
      <w:r>
        <w:t>率高于 50%组稀释度的对数值 + 距离比例</w:t>
      </w:r>
    </w:p>
    <w:p w14:paraId="6349DD06">
      <w:pPr>
        <w:spacing w:line="276" w:lineRule="auto"/>
        <w:ind w:left="420"/>
      </w:pPr>
      <w:r>
        <w:rPr>
          <w:rFonts w:hint="eastAsia"/>
        </w:rPr>
        <w:t>距离比例</w:t>
      </w:r>
      <w:r>
        <w:t>=（高于 50%组的</w:t>
      </w:r>
      <w:r>
        <w:rPr>
          <w:rFonts w:hint="eastAsia"/>
        </w:rPr>
        <w:t>感染</w:t>
      </w:r>
      <w:r>
        <w:t>率–50）/（高于 50%组的</w:t>
      </w:r>
      <w:r>
        <w:rPr>
          <w:rFonts w:hint="eastAsia"/>
        </w:rPr>
        <w:t>感染</w:t>
      </w:r>
      <w:r>
        <w:t>率–低于 50%组的</w:t>
      </w:r>
      <w:r>
        <w:rPr>
          <w:rFonts w:hint="eastAsia"/>
        </w:rPr>
        <w:t>感染</w:t>
      </w:r>
      <w:r>
        <w:t>率）</w:t>
      </w:r>
    </w:p>
    <w:p w14:paraId="45474AE0">
      <w:pPr>
        <w:pStyle w:val="62"/>
        <w:numPr>
          <w:ilvl w:val="1"/>
          <w:numId w:val="0"/>
        </w:numPr>
        <w:spacing w:before="313" w:beforeLines="100" w:after="313" w:afterLines="100" w:line="276" w:lineRule="auto"/>
        <w:jc w:val="both"/>
        <w:rPr>
          <w:rFonts w:hAnsi="黑体" w:cs="黑体"/>
        </w:rPr>
      </w:pPr>
      <w:r>
        <w:rPr>
          <w:rFonts w:hint="eastAsia" w:hAnsi="黑体" w:cs="黑体"/>
        </w:rPr>
        <w:t>C.5  举例</w:t>
      </w:r>
    </w:p>
    <w:p w14:paraId="250AAF09">
      <w:pPr>
        <w:spacing w:line="276" w:lineRule="auto"/>
        <w:ind w:left="420" w:firstLine="420" w:firstLineChars="200"/>
        <w:rPr>
          <w:szCs w:val="21"/>
        </w:rPr>
      </w:pPr>
      <w:r>
        <w:rPr>
          <w:rFonts w:hint="eastAsia"/>
          <w:szCs w:val="21"/>
        </w:rPr>
        <w:t>设试验数据如表</w:t>
      </w:r>
      <w:r>
        <w:rPr>
          <w:szCs w:val="21"/>
        </w:rPr>
        <w:t xml:space="preserve"> C.1 所示。</w:t>
      </w:r>
    </w:p>
    <w:p w14:paraId="58568A32">
      <w:pPr>
        <w:spacing w:before="156" w:beforeLines="50" w:after="156" w:afterLines="50" w:line="276" w:lineRule="auto"/>
        <w:ind w:left="420" w:firstLine="420" w:firstLineChars="200"/>
        <w:jc w:val="center"/>
        <w:rPr>
          <w:rFonts w:ascii="黑体" w:hAnsi="黑体" w:eastAsia="黑体" w:cs="黑体"/>
          <w:szCs w:val="21"/>
        </w:rPr>
      </w:pPr>
      <w:r>
        <w:rPr>
          <w:rFonts w:hint="eastAsia" w:ascii="黑体" w:hAnsi="黑体" w:eastAsia="黑体" w:cs="黑体"/>
          <w:szCs w:val="21"/>
        </w:rPr>
        <w:t>表 C.1  某病毒滴度检测结果</w:t>
      </w:r>
    </w:p>
    <w:tbl>
      <w:tblPr>
        <w:tblStyle w:val="33"/>
        <w:tblW w:w="0" w:type="auto"/>
        <w:tblInd w:w="108" w:type="dxa"/>
        <w:tblLayout w:type="autofit"/>
        <w:tblCellMar>
          <w:top w:w="0" w:type="dxa"/>
          <w:left w:w="108" w:type="dxa"/>
          <w:bottom w:w="0" w:type="dxa"/>
          <w:right w:w="108" w:type="dxa"/>
        </w:tblCellMar>
      </w:tblPr>
      <w:tblGrid>
        <w:gridCol w:w="1333"/>
        <w:gridCol w:w="1276"/>
        <w:gridCol w:w="736"/>
        <w:gridCol w:w="1115"/>
        <w:gridCol w:w="1115"/>
        <w:gridCol w:w="1115"/>
        <w:gridCol w:w="1115"/>
        <w:gridCol w:w="1115"/>
      </w:tblGrid>
      <w:tr w14:paraId="4E6D5156">
        <w:tblPrEx>
          <w:tblCellMar>
            <w:top w:w="0" w:type="dxa"/>
            <w:left w:w="108" w:type="dxa"/>
            <w:bottom w:w="0" w:type="dxa"/>
            <w:right w:w="108" w:type="dxa"/>
          </w:tblCellMar>
        </w:tblPrEx>
        <w:trPr>
          <w:trHeight w:val="340" w:hRule="atLeast"/>
        </w:trPr>
        <w:tc>
          <w:tcPr>
            <w:tcW w:w="1333" w:type="dxa"/>
            <w:vMerge w:val="restart"/>
            <w:tcBorders>
              <w:top w:val="single" w:color="auto" w:sz="4" w:space="0"/>
              <w:bottom w:val="single" w:color="auto" w:sz="4" w:space="0"/>
            </w:tcBorders>
            <w:shd w:val="clear" w:color="auto" w:fill="auto"/>
            <w:vAlign w:val="center"/>
          </w:tcPr>
          <w:p w14:paraId="0BFAA034">
            <w:pPr>
              <w:spacing w:line="276" w:lineRule="auto"/>
              <w:ind w:left="420"/>
              <w:jc w:val="center"/>
              <w:rPr>
                <w:b/>
                <w:bCs/>
                <w:sz w:val="18"/>
                <w:szCs w:val="18"/>
              </w:rPr>
            </w:pPr>
            <w:r>
              <w:rPr>
                <w:rFonts w:hint="eastAsia"/>
                <w:b/>
                <w:bCs/>
                <w:sz w:val="18"/>
                <w:szCs w:val="18"/>
              </w:rPr>
              <w:t>样本</w:t>
            </w:r>
            <w:r>
              <w:rPr>
                <w:b/>
                <w:bCs/>
                <w:sz w:val="18"/>
                <w:szCs w:val="18"/>
              </w:rPr>
              <w:t>稀释度</w:t>
            </w:r>
          </w:p>
        </w:tc>
        <w:tc>
          <w:tcPr>
            <w:tcW w:w="1276" w:type="dxa"/>
            <w:vMerge w:val="restart"/>
            <w:tcBorders>
              <w:top w:val="single" w:color="auto" w:sz="4" w:space="0"/>
              <w:bottom w:val="single" w:color="auto" w:sz="4" w:space="0"/>
            </w:tcBorders>
            <w:shd w:val="clear" w:color="auto" w:fill="auto"/>
            <w:vAlign w:val="center"/>
          </w:tcPr>
          <w:p w14:paraId="1E0AFD09">
            <w:pPr>
              <w:spacing w:line="276" w:lineRule="auto"/>
              <w:ind w:left="420"/>
              <w:jc w:val="center"/>
              <w:rPr>
                <w:b/>
                <w:bCs/>
                <w:sz w:val="18"/>
                <w:szCs w:val="18"/>
              </w:rPr>
            </w:pPr>
            <w:r>
              <w:rPr>
                <w:rFonts w:hint="eastAsia"/>
                <w:b/>
                <w:bCs/>
                <w:sz w:val="18"/>
                <w:szCs w:val="18"/>
              </w:rPr>
              <w:t>感染</w:t>
            </w:r>
            <w:r>
              <w:rPr>
                <w:b/>
                <w:bCs/>
                <w:sz w:val="18"/>
                <w:szCs w:val="18"/>
              </w:rPr>
              <w:t>孔数</w:t>
            </w:r>
          </w:p>
        </w:tc>
        <w:tc>
          <w:tcPr>
            <w:tcW w:w="1851" w:type="dxa"/>
            <w:gridSpan w:val="2"/>
            <w:tcBorders>
              <w:top w:val="single" w:color="auto" w:sz="4" w:space="0"/>
              <w:bottom w:val="single" w:color="auto" w:sz="4" w:space="0"/>
            </w:tcBorders>
            <w:shd w:val="clear" w:color="auto" w:fill="auto"/>
            <w:vAlign w:val="center"/>
          </w:tcPr>
          <w:p w14:paraId="02E72F74">
            <w:pPr>
              <w:spacing w:line="276" w:lineRule="auto"/>
              <w:ind w:left="420"/>
              <w:jc w:val="center"/>
              <w:rPr>
                <w:b/>
                <w:bCs/>
                <w:sz w:val="18"/>
                <w:szCs w:val="18"/>
              </w:rPr>
            </w:pPr>
            <w:r>
              <w:rPr>
                <w:rFonts w:hint="eastAsia"/>
                <w:b/>
                <w:bCs/>
                <w:sz w:val="18"/>
                <w:szCs w:val="18"/>
              </w:rPr>
              <w:t>感染孔</w:t>
            </w:r>
            <w:r>
              <w:rPr>
                <w:b/>
                <w:bCs/>
                <w:sz w:val="18"/>
                <w:szCs w:val="18"/>
              </w:rPr>
              <w:t>数</w:t>
            </w:r>
          </w:p>
        </w:tc>
        <w:tc>
          <w:tcPr>
            <w:tcW w:w="2230" w:type="dxa"/>
            <w:gridSpan w:val="2"/>
            <w:tcBorders>
              <w:top w:val="single" w:color="auto" w:sz="4" w:space="0"/>
              <w:bottom w:val="single" w:color="auto" w:sz="4" w:space="0"/>
            </w:tcBorders>
            <w:shd w:val="clear" w:color="auto" w:fill="auto"/>
            <w:vAlign w:val="center"/>
          </w:tcPr>
          <w:p w14:paraId="392704AA">
            <w:pPr>
              <w:spacing w:line="276" w:lineRule="auto"/>
              <w:ind w:left="420"/>
              <w:jc w:val="center"/>
              <w:rPr>
                <w:b/>
                <w:bCs/>
                <w:sz w:val="18"/>
                <w:szCs w:val="18"/>
              </w:rPr>
            </w:pPr>
            <w:r>
              <w:rPr>
                <w:rFonts w:hint="eastAsia"/>
                <w:b/>
                <w:bCs/>
                <w:sz w:val="18"/>
                <w:szCs w:val="18"/>
              </w:rPr>
              <w:t>累计值</w:t>
            </w:r>
          </w:p>
        </w:tc>
        <w:tc>
          <w:tcPr>
            <w:tcW w:w="1115" w:type="dxa"/>
            <w:vMerge w:val="restart"/>
            <w:tcBorders>
              <w:top w:val="single" w:color="auto" w:sz="4" w:space="0"/>
              <w:bottom w:val="single" w:color="auto" w:sz="4" w:space="0"/>
            </w:tcBorders>
            <w:shd w:val="clear" w:color="auto" w:fill="auto"/>
            <w:vAlign w:val="center"/>
          </w:tcPr>
          <w:p w14:paraId="37A3E25C">
            <w:pPr>
              <w:spacing w:line="276" w:lineRule="auto"/>
              <w:ind w:left="420"/>
              <w:jc w:val="center"/>
              <w:rPr>
                <w:b/>
                <w:bCs/>
                <w:sz w:val="18"/>
                <w:szCs w:val="18"/>
              </w:rPr>
            </w:pPr>
            <w:r>
              <w:rPr>
                <w:rFonts w:hint="eastAsia"/>
                <w:b/>
                <w:bCs/>
                <w:sz w:val="18"/>
                <w:szCs w:val="18"/>
              </w:rPr>
              <w:t>感染比</w:t>
            </w:r>
          </w:p>
        </w:tc>
        <w:tc>
          <w:tcPr>
            <w:tcW w:w="1115" w:type="dxa"/>
            <w:vMerge w:val="restart"/>
            <w:tcBorders>
              <w:top w:val="single" w:color="auto" w:sz="4" w:space="0"/>
              <w:bottom w:val="single" w:color="auto" w:sz="4" w:space="0"/>
            </w:tcBorders>
            <w:shd w:val="clear" w:color="auto" w:fill="auto"/>
            <w:vAlign w:val="center"/>
          </w:tcPr>
          <w:p w14:paraId="0E10B8A6">
            <w:pPr>
              <w:spacing w:line="276" w:lineRule="auto"/>
              <w:ind w:left="420"/>
              <w:jc w:val="center"/>
              <w:rPr>
                <w:b/>
                <w:bCs/>
                <w:sz w:val="18"/>
                <w:szCs w:val="18"/>
              </w:rPr>
            </w:pPr>
            <w:r>
              <w:rPr>
                <w:rFonts w:hint="eastAsia"/>
                <w:b/>
                <w:bCs/>
                <w:sz w:val="18"/>
                <w:szCs w:val="18"/>
              </w:rPr>
              <w:t>感染</w:t>
            </w:r>
            <w:r>
              <w:rPr>
                <w:b/>
                <w:bCs/>
                <w:sz w:val="18"/>
                <w:szCs w:val="18"/>
              </w:rPr>
              <w:t>率</w:t>
            </w:r>
          </w:p>
        </w:tc>
      </w:tr>
      <w:tr w14:paraId="2708F259">
        <w:tblPrEx>
          <w:tblCellMar>
            <w:top w:w="0" w:type="dxa"/>
            <w:left w:w="108" w:type="dxa"/>
            <w:bottom w:w="0" w:type="dxa"/>
            <w:right w:w="108" w:type="dxa"/>
          </w:tblCellMar>
        </w:tblPrEx>
        <w:trPr>
          <w:trHeight w:val="340" w:hRule="atLeast"/>
        </w:trPr>
        <w:tc>
          <w:tcPr>
            <w:tcW w:w="1333" w:type="dxa"/>
            <w:vMerge w:val="continue"/>
            <w:tcBorders>
              <w:bottom w:val="single" w:color="auto" w:sz="4" w:space="0"/>
            </w:tcBorders>
            <w:shd w:val="clear" w:color="auto" w:fill="auto"/>
            <w:vAlign w:val="center"/>
          </w:tcPr>
          <w:p w14:paraId="61B3E0D0">
            <w:pPr>
              <w:spacing w:line="276" w:lineRule="auto"/>
              <w:ind w:left="420"/>
              <w:jc w:val="center"/>
              <w:rPr>
                <w:b/>
                <w:bCs/>
                <w:sz w:val="18"/>
                <w:szCs w:val="18"/>
              </w:rPr>
            </w:pPr>
          </w:p>
        </w:tc>
        <w:tc>
          <w:tcPr>
            <w:tcW w:w="1276" w:type="dxa"/>
            <w:vMerge w:val="continue"/>
            <w:tcBorders>
              <w:bottom w:val="single" w:color="auto" w:sz="4" w:space="0"/>
            </w:tcBorders>
            <w:shd w:val="clear" w:color="auto" w:fill="auto"/>
            <w:vAlign w:val="center"/>
          </w:tcPr>
          <w:p w14:paraId="3DA49AC2">
            <w:pPr>
              <w:spacing w:line="276" w:lineRule="auto"/>
              <w:ind w:left="420"/>
              <w:jc w:val="center"/>
              <w:rPr>
                <w:b/>
                <w:bCs/>
                <w:sz w:val="18"/>
                <w:szCs w:val="18"/>
              </w:rPr>
            </w:pPr>
          </w:p>
        </w:tc>
        <w:tc>
          <w:tcPr>
            <w:tcW w:w="736" w:type="dxa"/>
            <w:tcBorders>
              <w:top w:val="single" w:color="auto" w:sz="4" w:space="0"/>
              <w:bottom w:val="single" w:color="auto" w:sz="4" w:space="0"/>
            </w:tcBorders>
            <w:shd w:val="clear" w:color="auto" w:fill="auto"/>
            <w:vAlign w:val="center"/>
          </w:tcPr>
          <w:p w14:paraId="6EADD24D">
            <w:pPr>
              <w:spacing w:line="276" w:lineRule="auto"/>
              <w:ind w:left="420"/>
              <w:jc w:val="center"/>
              <w:rPr>
                <w:b/>
                <w:bCs/>
                <w:sz w:val="18"/>
                <w:szCs w:val="18"/>
              </w:rPr>
            </w:pPr>
            <w:r>
              <w:rPr>
                <w:rFonts w:hint="eastAsia"/>
                <w:b/>
                <w:bCs/>
                <w:sz w:val="18"/>
                <w:szCs w:val="18"/>
              </w:rPr>
              <w:t>-</w:t>
            </w:r>
          </w:p>
        </w:tc>
        <w:tc>
          <w:tcPr>
            <w:tcW w:w="1115" w:type="dxa"/>
            <w:tcBorders>
              <w:top w:val="single" w:color="auto" w:sz="4" w:space="0"/>
              <w:bottom w:val="single" w:color="auto" w:sz="4" w:space="0"/>
            </w:tcBorders>
            <w:shd w:val="clear" w:color="auto" w:fill="auto"/>
            <w:vAlign w:val="center"/>
          </w:tcPr>
          <w:p w14:paraId="64877F65">
            <w:pPr>
              <w:spacing w:line="276" w:lineRule="auto"/>
              <w:ind w:left="420"/>
              <w:jc w:val="center"/>
              <w:rPr>
                <w:b/>
                <w:bCs/>
                <w:sz w:val="18"/>
                <w:szCs w:val="18"/>
              </w:rPr>
            </w:pPr>
            <w:r>
              <w:rPr>
                <w:rFonts w:hint="eastAsia"/>
                <w:b/>
                <w:bCs/>
                <w:sz w:val="18"/>
                <w:szCs w:val="18"/>
              </w:rPr>
              <w:t>+</w:t>
            </w:r>
          </w:p>
        </w:tc>
        <w:tc>
          <w:tcPr>
            <w:tcW w:w="1115" w:type="dxa"/>
            <w:tcBorders>
              <w:top w:val="single" w:color="auto" w:sz="4" w:space="0"/>
              <w:bottom w:val="single" w:color="auto" w:sz="4" w:space="0"/>
            </w:tcBorders>
            <w:shd w:val="clear" w:color="auto" w:fill="auto"/>
            <w:vAlign w:val="center"/>
          </w:tcPr>
          <w:p w14:paraId="671B3A2B">
            <w:pPr>
              <w:spacing w:line="276" w:lineRule="auto"/>
              <w:ind w:left="420"/>
              <w:jc w:val="center"/>
              <w:rPr>
                <w:b/>
                <w:bCs/>
                <w:sz w:val="18"/>
                <w:szCs w:val="18"/>
              </w:rPr>
            </w:pPr>
            <w:r>
              <w:rPr>
                <w:rFonts w:hint="eastAsia"/>
                <w:b/>
                <w:bCs/>
                <w:sz w:val="18"/>
                <w:szCs w:val="18"/>
              </w:rPr>
              <w:t>-</w:t>
            </w:r>
          </w:p>
        </w:tc>
        <w:tc>
          <w:tcPr>
            <w:tcW w:w="1115" w:type="dxa"/>
            <w:tcBorders>
              <w:top w:val="single" w:color="auto" w:sz="4" w:space="0"/>
              <w:bottom w:val="single" w:color="auto" w:sz="4" w:space="0"/>
            </w:tcBorders>
            <w:shd w:val="clear" w:color="auto" w:fill="auto"/>
            <w:vAlign w:val="center"/>
          </w:tcPr>
          <w:p w14:paraId="64192604">
            <w:pPr>
              <w:spacing w:line="276" w:lineRule="auto"/>
              <w:ind w:left="420"/>
              <w:jc w:val="center"/>
              <w:rPr>
                <w:b/>
                <w:bCs/>
                <w:sz w:val="18"/>
                <w:szCs w:val="18"/>
              </w:rPr>
            </w:pPr>
            <w:r>
              <w:rPr>
                <w:rFonts w:hint="eastAsia"/>
                <w:b/>
                <w:bCs/>
                <w:sz w:val="18"/>
                <w:szCs w:val="18"/>
              </w:rPr>
              <w:t>+</w:t>
            </w:r>
          </w:p>
        </w:tc>
        <w:tc>
          <w:tcPr>
            <w:tcW w:w="1115" w:type="dxa"/>
            <w:vMerge w:val="continue"/>
            <w:tcBorders>
              <w:bottom w:val="single" w:color="auto" w:sz="4" w:space="0"/>
            </w:tcBorders>
            <w:shd w:val="clear" w:color="auto" w:fill="auto"/>
            <w:vAlign w:val="center"/>
          </w:tcPr>
          <w:p w14:paraId="7DFE5715">
            <w:pPr>
              <w:spacing w:line="276" w:lineRule="auto"/>
              <w:ind w:left="420"/>
              <w:jc w:val="center"/>
              <w:rPr>
                <w:b/>
                <w:bCs/>
                <w:sz w:val="18"/>
                <w:szCs w:val="18"/>
              </w:rPr>
            </w:pPr>
          </w:p>
        </w:tc>
        <w:tc>
          <w:tcPr>
            <w:tcW w:w="1115" w:type="dxa"/>
            <w:vMerge w:val="continue"/>
            <w:tcBorders>
              <w:bottom w:val="single" w:color="auto" w:sz="4" w:space="0"/>
            </w:tcBorders>
            <w:shd w:val="clear" w:color="auto" w:fill="auto"/>
            <w:vAlign w:val="center"/>
          </w:tcPr>
          <w:p w14:paraId="43A4DE26">
            <w:pPr>
              <w:spacing w:line="276" w:lineRule="auto"/>
              <w:ind w:left="420"/>
              <w:jc w:val="center"/>
              <w:rPr>
                <w:b/>
                <w:bCs/>
                <w:sz w:val="18"/>
                <w:szCs w:val="18"/>
              </w:rPr>
            </w:pPr>
          </w:p>
        </w:tc>
      </w:tr>
      <w:tr w14:paraId="61CD970C">
        <w:tblPrEx>
          <w:tblCellMar>
            <w:top w:w="0" w:type="dxa"/>
            <w:left w:w="108" w:type="dxa"/>
            <w:bottom w:w="0" w:type="dxa"/>
            <w:right w:w="108" w:type="dxa"/>
          </w:tblCellMar>
        </w:tblPrEx>
        <w:trPr>
          <w:trHeight w:val="340" w:hRule="atLeast"/>
        </w:trPr>
        <w:tc>
          <w:tcPr>
            <w:tcW w:w="1333" w:type="dxa"/>
            <w:tcBorders>
              <w:top w:val="single" w:color="auto" w:sz="4" w:space="0"/>
            </w:tcBorders>
            <w:shd w:val="clear" w:color="auto" w:fill="auto"/>
            <w:vAlign w:val="center"/>
          </w:tcPr>
          <w:p w14:paraId="12BD0955">
            <w:pPr>
              <w:spacing w:line="276" w:lineRule="auto"/>
              <w:ind w:left="420"/>
              <w:jc w:val="center"/>
              <w:rPr>
                <w:sz w:val="18"/>
                <w:szCs w:val="18"/>
              </w:rPr>
            </w:pPr>
            <w:r>
              <w:rPr>
                <w:rFonts w:hint="eastAsia"/>
                <w:sz w:val="18"/>
                <w:szCs w:val="18"/>
              </w:rPr>
              <w:t>10</w:t>
            </w:r>
            <w:r>
              <w:rPr>
                <w:sz w:val="18"/>
                <w:szCs w:val="18"/>
                <w:vertAlign w:val="superscript"/>
              </w:rPr>
              <w:t>-4</w:t>
            </w:r>
          </w:p>
        </w:tc>
        <w:tc>
          <w:tcPr>
            <w:tcW w:w="1276" w:type="dxa"/>
            <w:tcBorders>
              <w:top w:val="single" w:color="auto" w:sz="4" w:space="0"/>
            </w:tcBorders>
            <w:shd w:val="clear" w:color="auto" w:fill="auto"/>
            <w:vAlign w:val="center"/>
          </w:tcPr>
          <w:p w14:paraId="66F2314E">
            <w:pPr>
              <w:spacing w:line="276" w:lineRule="auto"/>
              <w:ind w:left="420"/>
              <w:jc w:val="center"/>
              <w:rPr>
                <w:sz w:val="18"/>
                <w:szCs w:val="18"/>
              </w:rPr>
            </w:pPr>
            <w:r>
              <w:rPr>
                <w:rFonts w:hint="eastAsia"/>
                <w:sz w:val="18"/>
                <w:szCs w:val="18"/>
              </w:rPr>
              <w:t>8</w:t>
            </w:r>
          </w:p>
        </w:tc>
        <w:tc>
          <w:tcPr>
            <w:tcW w:w="736" w:type="dxa"/>
            <w:tcBorders>
              <w:top w:val="single" w:color="auto" w:sz="4" w:space="0"/>
            </w:tcBorders>
            <w:shd w:val="clear" w:color="auto" w:fill="auto"/>
            <w:vAlign w:val="center"/>
          </w:tcPr>
          <w:p w14:paraId="0856B5E8">
            <w:pPr>
              <w:spacing w:line="276" w:lineRule="auto"/>
              <w:ind w:left="420"/>
              <w:jc w:val="center"/>
              <w:rPr>
                <w:sz w:val="18"/>
                <w:szCs w:val="18"/>
              </w:rPr>
            </w:pPr>
            <w:r>
              <w:rPr>
                <w:rFonts w:hint="eastAsia"/>
                <w:sz w:val="18"/>
                <w:szCs w:val="18"/>
              </w:rPr>
              <w:t>0</w:t>
            </w:r>
          </w:p>
        </w:tc>
        <w:tc>
          <w:tcPr>
            <w:tcW w:w="1115" w:type="dxa"/>
            <w:tcBorders>
              <w:top w:val="single" w:color="auto" w:sz="4" w:space="0"/>
            </w:tcBorders>
            <w:shd w:val="clear" w:color="auto" w:fill="auto"/>
            <w:vAlign w:val="center"/>
          </w:tcPr>
          <w:p w14:paraId="77EBB581">
            <w:pPr>
              <w:spacing w:line="276" w:lineRule="auto"/>
              <w:ind w:left="420"/>
              <w:jc w:val="center"/>
              <w:rPr>
                <w:sz w:val="18"/>
                <w:szCs w:val="18"/>
              </w:rPr>
            </w:pPr>
            <w:r>
              <w:rPr>
                <w:rFonts w:hint="eastAsia"/>
                <w:sz w:val="18"/>
                <w:szCs w:val="18"/>
              </w:rPr>
              <w:t>8</w:t>
            </w:r>
          </w:p>
        </w:tc>
        <w:tc>
          <w:tcPr>
            <w:tcW w:w="1115" w:type="dxa"/>
            <w:tcBorders>
              <w:top w:val="single" w:color="auto" w:sz="4" w:space="0"/>
            </w:tcBorders>
            <w:shd w:val="clear" w:color="auto" w:fill="auto"/>
            <w:vAlign w:val="center"/>
          </w:tcPr>
          <w:p w14:paraId="51CDCF8C">
            <w:pPr>
              <w:spacing w:line="276" w:lineRule="auto"/>
              <w:ind w:left="420"/>
              <w:jc w:val="center"/>
              <w:rPr>
                <w:sz w:val="18"/>
                <w:szCs w:val="18"/>
              </w:rPr>
            </w:pPr>
            <w:r>
              <w:rPr>
                <w:rFonts w:hint="eastAsia"/>
                <w:sz w:val="18"/>
                <w:szCs w:val="18"/>
              </w:rPr>
              <w:t>0</w:t>
            </w:r>
          </w:p>
        </w:tc>
        <w:tc>
          <w:tcPr>
            <w:tcW w:w="1115" w:type="dxa"/>
            <w:tcBorders>
              <w:top w:val="single" w:color="auto" w:sz="4" w:space="0"/>
            </w:tcBorders>
            <w:shd w:val="clear" w:color="auto" w:fill="auto"/>
            <w:vAlign w:val="center"/>
          </w:tcPr>
          <w:p w14:paraId="79523E6F">
            <w:pPr>
              <w:spacing w:line="276" w:lineRule="auto"/>
              <w:ind w:left="420"/>
              <w:jc w:val="center"/>
              <w:rPr>
                <w:sz w:val="18"/>
                <w:szCs w:val="18"/>
              </w:rPr>
            </w:pPr>
            <w:r>
              <w:rPr>
                <w:rFonts w:hint="eastAsia"/>
                <w:sz w:val="18"/>
                <w:szCs w:val="18"/>
              </w:rPr>
              <w:t>24</w:t>
            </w:r>
          </w:p>
        </w:tc>
        <w:tc>
          <w:tcPr>
            <w:tcW w:w="1115" w:type="dxa"/>
            <w:tcBorders>
              <w:top w:val="single" w:color="auto" w:sz="4" w:space="0"/>
            </w:tcBorders>
            <w:shd w:val="clear" w:color="auto" w:fill="auto"/>
            <w:vAlign w:val="center"/>
          </w:tcPr>
          <w:p w14:paraId="536F3D76">
            <w:pPr>
              <w:spacing w:line="276" w:lineRule="auto"/>
              <w:ind w:left="420"/>
              <w:jc w:val="center"/>
              <w:rPr>
                <w:sz w:val="18"/>
                <w:szCs w:val="18"/>
              </w:rPr>
            </w:pPr>
            <w:r>
              <w:rPr>
                <w:rFonts w:hint="eastAsia"/>
                <w:sz w:val="18"/>
                <w:szCs w:val="18"/>
              </w:rPr>
              <w:t>24/24</w:t>
            </w:r>
          </w:p>
        </w:tc>
        <w:tc>
          <w:tcPr>
            <w:tcW w:w="1115" w:type="dxa"/>
            <w:tcBorders>
              <w:top w:val="single" w:color="auto" w:sz="4" w:space="0"/>
            </w:tcBorders>
            <w:shd w:val="clear" w:color="auto" w:fill="auto"/>
            <w:vAlign w:val="center"/>
          </w:tcPr>
          <w:p w14:paraId="26B84F33">
            <w:pPr>
              <w:spacing w:line="276" w:lineRule="auto"/>
              <w:ind w:left="420"/>
              <w:jc w:val="center"/>
              <w:rPr>
                <w:sz w:val="18"/>
                <w:szCs w:val="18"/>
              </w:rPr>
            </w:pPr>
            <w:r>
              <w:rPr>
                <w:rFonts w:hint="eastAsia"/>
                <w:sz w:val="18"/>
                <w:szCs w:val="18"/>
              </w:rPr>
              <w:t>100</w:t>
            </w:r>
          </w:p>
        </w:tc>
      </w:tr>
      <w:tr w14:paraId="409E46C7">
        <w:tblPrEx>
          <w:tblCellMar>
            <w:top w:w="0" w:type="dxa"/>
            <w:left w:w="108" w:type="dxa"/>
            <w:bottom w:w="0" w:type="dxa"/>
            <w:right w:w="108" w:type="dxa"/>
          </w:tblCellMar>
        </w:tblPrEx>
        <w:trPr>
          <w:trHeight w:val="340" w:hRule="atLeast"/>
        </w:trPr>
        <w:tc>
          <w:tcPr>
            <w:tcW w:w="1333" w:type="dxa"/>
            <w:shd w:val="clear" w:color="auto" w:fill="auto"/>
          </w:tcPr>
          <w:p w14:paraId="7149C4E0">
            <w:pPr>
              <w:spacing w:line="276" w:lineRule="auto"/>
              <w:ind w:left="420"/>
              <w:jc w:val="center"/>
              <w:rPr>
                <w:sz w:val="18"/>
                <w:szCs w:val="18"/>
              </w:rPr>
            </w:pPr>
            <w:r>
              <w:rPr>
                <w:rFonts w:hint="eastAsia"/>
                <w:sz w:val="18"/>
                <w:szCs w:val="18"/>
              </w:rPr>
              <w:t>10</w:t>
            </w:r>
            <w:r>
              <w:rPr>
                <w:sz w:val="18"/>
                <w:szCs w:val="18"/>
                <w:vertAlign w:val="superscript"/>
              </w:rPr>
              <w:t>-5</w:t>
            </w:r>
          </w:p>
        </w:tc>
        <w:tc>
          <w:tcPr>
            <w:tcW w:w="1276" w:type="dxa"/>
            <w:shd w:val="clear" w:color="auto" w:fill="auto"/>
            <w:vAlign w:val="center"/>
          </w:tcPr>
          <w:p w14:paraId="1F83E374">
            <w:pPr>
              <w:spacing w:line="276" w:lineRule="auto"/>
              <w:ind w:left="420"/>
              <w:jc w:val="center"/>
              <w:rPr>
                <w:sz w:val="18"/>
                <w:szCs w:val="18"/>
              </w:rPr>
            </w:pPr>
            <w:r>
              <w:rPr>
                <w:rFonts w:hint="eastAsia"/>
                <w:sz w:val="18"/>
                <w:szCs w:val="18"/>
              </w:rPr>
              <w:t>8</w:t>
            </w:r>
          </w:p>
        </w:tc>
        <w:tc>
          <w:tcPr>
            <w:tcW w:w="736" w:type="dxa"/>
            <w:shd w:val="clear" w:color="auto" w:fill="auto"/>
            <w:vAlign w:val="center"/>
          </w:tcPr>
          <w:p w14:paraId="568671E3">
            <w:pPr>
              <w:spacing w:line="276" w:lineRule="auto"/>
              <w:ind w:left="420"/>
              <w:jc w:val="center"/>
              <w:rPr>
                <w:sz w:val="18"/>
                <w:szCs w:val="18"/>
              </w:rPr>
            </w:pPr>
            <w:r>
              <w:rPr>
                <w:rFonts w:hint="eastAsia"/>
                <w:sz w:val="18"/>
                <w:szCs w:val="18"/>
              </w:rPr>
              <w:t>1</w:t>
            </w:r>
          </w:p>
        </w:tc>
        <w:tc>
          <w:tcPr>
            <w:tcW w:w="1115" w:type="dxa"/>
            <w:shd w:val="clear" w:color="auto" w:fill="auto"/>
            <w:vAlign w:val="center"/>
          </w:tcPr>
          <w:p w14:paraId="08460795">
            <w:pPr>
              <w:spacing w:line="276" w:lineRule="auto"/>
              <w:ind w:left="420"/>
              <w:jc w:val="center"/>
              <w:rPr>
                <w:sz w:val="18"/>
                <w:szCs w:val="18"/>
              </w:rPr>
            </w:pPr>
            <w:r>
              <w:rPr>
                <w:rFonts w:hint="eastAsia"/>
                <w:sz w:val="18"/>
                <w:szCs w:val="18"/>
              </w:rPr>
              <w:t>7</w:t>
            </w:r>
          </w:p>
        </w:tc>
        <w:tc>
          <w:tcPr>
            <w:tcW w:w="1115" w:type="dxa"/>
            <w:shd w:val="clear" w:color="auto" w:fill="auto"/>
            <w:vAlign w:val="center"/>
          </w:tcPr>
          <w:p w14:paraId="5477FCCB">
            <w:pPr>
              <w:spacing w:line="276" w:lineRule="auto"/>
              <w:ind w:left="420"/>
              <w:jc w:val="center"/>
              <w:rPr>
                <w:sz w:val="18"/>
                <w:szCs w:val="18"/>
              </w:rPr>
            </w:pPr>
            <w:r>
              <w:rPr>
                <w:rFonts w:hint="eastAsia"/>
                <w:sz w:val="18"/>
                <w:szCs w:val="18"/>
              </w:rPr>
              <w:t>1</w:t>
            </w:r>
          </w:p>
        </w:tc>
        <w:tc>
          <w:tcPr>
            <w:tcW w:w="1115" w:type="dxa"/>
            <w:shd w:val="clear" w:color="auto" w:fill="auto"/>
            <w:vAlign w:val="center"/>
          </w:tcPr>
          <w:p w14:paraId="0CD0376E">
            <w:pPr>
              <w:spacing w:line="276" w:lineRule="auto"/>
              <w:ind w:left="420"/>
              <w:jc w:val="center"/>
              <w:rPr>
                <w:sz w:val="18"/>
                <w:szCs w:val="18"/>
              </w:rPr>
            </w:pPr>
            <w:r>
              <w:rPr>
                <w:rFonts w:hint="eastAsia"/>
                <w:sz w:val="18"/>
                <w:szCs w:val="18"/>
              </w:rPr>
              <w:t>16</w:t>
            </w:r>
          </w:p>
        </w:tc>
        <w:tc>
          <w:tcPr>
            <w:tcW w:w="1115" w:type="dxa"/>
            <w:shd w:val="clear" w:color="auto" w:fill="auto"/>
            <w:vAlign w:val="center"/>
          </w:tcPr>
          <w:p w14:paraId="3D3FED51">
            <w:pPr>
              <w:spacing w:line="276" w:lineRule="auto"/>
              <w:ind w:left="420"/>
              <w:jc w:val="center"/>
              <w:rPr>
                <w:sz w:val="18"/>
                <w:szCs w:val="18"/>
              </w:rPr>
            </w:pPr>
            <w:r>
              <w:rPr>
                <w:rFonts w:hint="eastAsia"/>
                <w:sz w:val="18"/>
                <w:szCs w:val="18"/>
              </w:rPr>
              <w:t>16/17</w:t>
            </w:r>
          </w:p>
        </w:tc>
        <w:tc>
          <w:tcPr>
            <w:tcW w:w="1115" w:type="dxa"/>
            <w:shd w:val="clear" w:color="auto" w:fill="auto"/>
            <w:vAlign w:val="center"/>
          </w:tcPr>
          <w:p w14:paraId="06D35ACC">
            <w:pPr>
              <w:spacing w:line="276" w:lineRule="auto"/>
              <w:ind w:left="420"/>
              <w:jc w:val="center"/>
              <w:rPr>
                <w:sz w:val="18"/>
                <w:szCs w:val="18"/>
              </w:rPr>
            </w:pPr>
            <w:r>
              <w:rPr>
                <w:rFonts w:hint="eastAsia"/>
                <w:sz w:val="18"/>
                <w:szCs w:val="18"/>
              </w:rPr>
              <w:t>94.1</w:t>
            </w:r>
          </w:p>
        </w:tc>
      </w:tr>
      <w:tr w14:paraId="229A8637">
        <w:tblPrEx>
          <w:tblCellMar>
            <w:top w:w="0" w:type="dxa"/>
            <w:left w:w="108" w:type="dxa"/>
            <w:bottom w:w="0" w:type="dxa"/>
            <w:right w:w="108" w:type="dxa"/>
          </w:tblCellMar>
        </w:tblPrEx>
        <w:trPr>
          <w:trHeight w:val="340" w:hRule="atLeast"/>
        </w:trPr>
        <w:tc>
          <w:tcPr>
            <w:tcW w:w="1333" w:type="dxa"/>
            <w:shd w:val="clear" w:color="auto" w:fill="auto"/>
          </w:tcPr>
          <w:p w14:paraId="28CDC2D6">
            <w:pPr>
              <w:spacing w:line="276" w:lineRule="auto"/>
              <w:ind w:left="420"/>
              <w:jc w:val="center"/>
              <w:rPr>
                <w:sz w:val="18"/>
                <w:szCs w:val="18"/>
              </w:rPr>
            </w:pPr>
            <w:r>
              <w:rPr>
                <w:rFonts w:hint="eastAsia"/>
                <w:sz w:val="18"/>
                <w:szCs w:val="18"/>
              </w:rPr>
              <w:t>10</w:t>
            </w:r>
            <w:r>
              <w:rPr>
                <w:sz w:val="18"/>
                <w:szCs w:val="18"/>
                <w:vertAlign w:val="superscript"/>
              </w:rPr>
              <w:t>-6</w:t>
            </w:r>
          </w:p>
        </w:tc>
        <w:tc>
          <w:tcPr>
            <w:tcW w:w="1276" w:type="dxa"/>
            <w:shd w:val="clear" w:color="auto" w:fill="auto"/>
            <w:vAlign w:val="center"/>
          </w:tcPr>
          <w:p w14:paraId="3308D1D7">
            <w:pPr>
              <w:spacing w:line="276" w:lineRule="auto"/>
              <w:ind w:left="420"/>
              <w:jc w:val="center"/>
              <w:rPr>
                <w:sz w:val="18"/>
                <w:szCs w:val="18"/>
              </w:rPr>
            </w:pPr>
            <w:r>
              <w:rPr>
                <w:rFonts w:hint="eastAsia"/>
                <w:sz w:val="18"/>
                <w:szCs w:val="18"/>
              </w:rPr>
              <w:t>8</w:t>
            </w:r>
          </w:p>
        </w:tc>
        <w:tc>
          <w:tcPr>
            <w:tcW w:w="736" w:type="dxa"/>
            <w:shd w:val="clear" w:color="auto" w:fill="auto"/>
            <w:vAlign w:val="center"/>
          </w:tcPr>
          <w:p w14:paraId="0E0EAC00">
            <w:pPr>
              <w:spacing w:line="276" w:lineRule="auto"/>
              <w:ind w:left="420"/>
              <w:jc w:val="center"/>
              <w:rPr>
                <w:sz w:val="18"/>
                <w:szCs w:val="18"/>
              </w:rPr>
            </w:pPr>
            <w:r>
              <w:rPr>
                <w:rFonts w:hint="eastAsia"/>
                <w:sz w:val="18"/>
                <w:szCs w:val="18"/>
              </w:rPr>
              <w:t>3</w:t>
            </w:r>
          </w:p>
        </w:tc>
        <w:tc>
          <w:tcPr>
            <w:tcW w:w="1115" w:type="dxa"/>
            <w:shd w:val="clear" w:color="auto" w:fill="auto"/>
            <w:vAlign w:val="center"/>
          </w:tcPr>
          <w:p w14:paraId="1BFE4851">
            <w:pPr>
              <w:spacing w:line="276" w:lineRule="auto"/>
              <w:ind w:left="420"/>
              <w:jc w:val="center"/>
              <w:rPr>
                <w:sz w:val="18"/>
                <w:szCs w:val="18"/>
              </w:rPr>
            </w:pPr>
            <w:r>
              <w:rPr>
                <w:rFonts w:hint="eastAsia"/>
                <w:sz w:val="18"/>
                <w:szCs w:val="18"/>
              </w:rPr>
              <w:t>5</w:t>
            </w:r>
          </w:p>
        </w:tc>
        <w:tc>
          <w:tcPr>
            <w:tcW w:w="1115" w:type="dxa"/>
            <w:shd w:val="clear" w:color="auto" w:fill="auto"/>
            <w:vAlign w:val="center"/>
          </w:tcPr>
          <w:p w14:paraId="538977A5">
            <w:pPr>
              <w:spacing w:line="276" w:lineRule="auto"/>
              <w:ind w:left="420"/>
              <w:jc w:val="center"/>
              <w:rPr>
                <w:sz w:val="18"/>
                <w:szCs w:val="18"/>
              </w:rPr>
            </w:pPr>
            <w:r>
              <w:rPr>
                <w:rFonts w:hint="eastAsia"/>
                <w:sz w:val="18"/>
                <w:szCs w:val="18"/>
              </w:rPr>
              <w:t>4</w:t>
            </w:r>
          </w:p>
        </w:tc>
        <w:tc>
          <w:tcPr>
            <w:tcW w:w="1115" w:type="dxa"/>
            <w:shd w:val="clear" w:color="auto" w:fill="auto"/>
            <w:vAlign w:val="center"/>
          </w:tcPr>
          <w:p w14:paraId="739DAC93">
            <w:pPr>
              <w:spacing w:line="276" w:lineRule="auto"/>
              <w:ind w:left="420"/>
              <w:jc w:val="center"/>
              <w:rPr>
                <w:sz w:val="18"/>
                <w:szCs w:val="18"/>
              </w:rPr>
            </w:pPr>
            <w:r>
              <w:rPr>
                <w:rFonts w:hint="eastAsia"/>
                <w:sz w:val="18"/>
                <w:szCs w:val="18"/>
              </w:rPr>
              <w:t>9</w:t>
            </w:r>
          </w:p>
        </w:tc>
        <w:tc>
          <w:tcPr>
            <w:tcW w:w="1115" w:type="dxa"/>
            <w:shd w:val="clear" w:color="auto" w:fill="auto"/>
            <w:vAlign w:val="center"/>
          </w:tcPr>
          <w:p w14:paraId="0D2D25C0">
            <w:pPr>
              <w:spacing w:line="276" w:lineRule="auto"/>
              <w:ind w:left="420"/>
              <w:jc w:val="center"/>
              <w:rPr>
                <w:sz w:val="18"/>
                <w:szCs w:val="18"/>
              </w:rPr>
            </w:pPr>
            <w:r>
              <w:rPr>
                <w:rFonts w:hint="eastAsia"/>
                <w:sz w:val="18"/>
                <w:szCs w:val="18"/>
              </w:rPr>
              <w:t>9/13</w:t>
            </w:r>
          </w:p>
        </w:tc>
        <w:tc>
          <w:tcPr>
            <w:tcW w:w="1115" w:type="dxa"/>
            <w:shd w:val="clear" w:color="auto" w:fill="auto"/>
            <w:vAlign w:val="center"/>
          </w:tcPr>
          <w:p w14:paraId="4934F80E">
            <w:pPr>
              <w:spacing w:line="276" w:lineRule="auto"/>
              <w:ind w:left="420"/>
              <w:jc w:val="center"/>
              <w:rPr>
                <w:sz w:val="18"/>
                <w:szCs w:val="18"/>
              </w:rPr>
            </w:pPr>
            <w:r>
              <w:rPr>
                <w:rFonts w:hint="eastAsia"/>
                <w:sz w:val="18"/>
                <w:szCs w:val="18"/>
              </w:rPr>
              <w:t>69.2</w:t>
            </w:r>
          </w:p>
        </w:tc>
      </w:tr>
      <w:tr w14:paraId="4712DA04">
        <w:tblPrEx>
          <w:tblCellMar>
            <w:top w:w="0" w:type="dxa"/>
            <w:left w:w="108" w:type="dxa"/>
            <w:bottom w:w="0" w:type="dxa"/>
            <w:right w:w="108" w:type="dxa"/>
          </w:tblCellMar>
        </w:tblPrEx>
        <w:trPr>
          <w:trHeight w:val="340" w:hRule="atLeast"/>
        </w:trPr>
        <w:tc>
          <w:tcPr>
            <w:tcW w:w="1333" w:type="dxa"/>
            <w:shd w:val="clear" w:color="auto" w:fill="auto"/>
          </w:tcPr>
          <w:p w14:paraId="22212F9C">
            <w:pPr>
              <w:spacing w:line="276" w:lineRule="auto"/>
              <w:ind w:left="420"/>
              <w:jc w:val="center"/>
              <w:rPr>
                <w:sz w:val="18"/>
                <w:szCs w:val="18"/>
              </w:rPr>
            </w:pPr>
            <w:r>
              <w:rPr>
                <w:rFonts w:hint="eastAsia"/>
                <w:sz w:val="18"/>
                <w:szCs w:val="18"/>
              </w:rPr>
              <w:t>10</w:t>
            </w:r>
            <w:r>
              <w:rPr>
                <w:sz w:val="18"/>
                <w:szCs w:val="18"/>
                <w:vertAlign w:val="superscript"/>
              </w:rPr>
              <w:t>-7</w:t>
            </w:r>
          </w:p>
        </w:tc>
        <w:tc>
          <w:tcPr>
            <w:tcW w:w="1276" w:type="dxa"/>
            <w:shd w:val="clear" w:color="auto" w:fill="auto"/>
            <w:vAlign w:val="center"/>
          </w:tcPr>
          <w:p w14:paraId="0A2B7929">
            <w:pPr>
              <w:spacing w:line="276" w:lineRule="auto"/>
              <w:ind w:left="420"/>
              <w:jc w:val="center"/>
              <w:rPr>
                <w:sz w:val="18"/>
                <w:szCs w:val="18"/>
              </w:rPr>
            </w:pPr>
            <w:r>
              <w:rPr>
                <w:rFonts w:hint="eastAsia"/>
                <w:sz w:val="18"/>
                <w:szCs w:val="18"/>
              </w:rPr>
              <w:t>8</w:t>
            </w:r>
          </w:p>
        </w:tc>
        <w:tc>
          <w:tcPr>
            <w:tcW w:w="736" w:type="dxa"/>
            <w:shd w:val="clear" w:color="auto" w:fill="auto"/>
            <w:vAlign w:val="center"/>
          </w:tcPr>
          <w:p w14:paraId="1E9653C8">
            <w:pPr>
              <w:spacing w:line="276" w:lineRule="auto"/>
              <w:ind w:left="420"/>
              <w:jc w:val="center"/>
              <w:rPr>
                <w:sz w:val="18"/>
                <w:szCs w:val="18"/>
              </w:rPr>
            </w:pPr>
            <w:r>
              <w:rPr>
                <w:rFonts w:hint="eastAsia"/>
                <w:sz w:val="18"/>
                <w:szCs w:val="18"/>
              </w:rPr>
              <w:t>5</w:t>
            </w:r>
          </w:p>
        </w:tc>
        <w:tc>
          <w:tcPr>
            <w:tcW w:w="1115" w:type="dxa"/>
            <w:shd w:val="clear" w:color="auto" w:fill="auto"/>
            <w:vAlign w:val="center"/>
          </w:tcPr>
          <w:p w14:paraId="05FC9197">
            <w:pPr>
              <w:spacing w:line="276" w:lineRule="auto"/>
              <w:ind w:left="420"/>
              <w:jc w:val="center"/>
              <w:rPr>
                <w:sz w:val="18"/>
                <w:szCs w:val="18"/>
              </w:rPr>
            </w:pPr>
            <w:r>
              <w:rPr>
                <w:rFonts w:hint="eastAsia"/>
                <w:sz w:val="18"/>
                <w:szCs w:val="18"/>
              </w:rPr>
              <w:t>3</w:t>
            </w:r>
          </w:p>
        </w:tc>
        <w:tc>
          <w:tcPr>
            <w:tcW w:w="1115" w:type="dxa"/>
            <w:shd w:val="clear" w:color="auto" w:fill="auto"/>
            <w:vAlign w:val="center"/>
          </w:tcPr>
          <w:p w14:paraId="0E653BCC">
            <w:pPr>
              <w:spacing w:line="276" w:lineRule="auto"/>
              <w:ind w:left="420"/>
              <w:jc w:val="center"/>
              <w:rPr>
                <w:sz w:val="18"/>
                <w:szCs w:val="18"/>
              </w:rPr>
            </w:pPr>
            <w:r>
              <w:rPr>
                <w:rFonts w:hint="eastAsia"/>
                <w:sz w:val="18"/>
                <w:szCs w:val="18"/>
              </w:rPr>
              <w:t>9</w:t>
            </w:r>
          </w:p>
        </w:tc>
        <w:tc>
          <w:tcPr>
            <w:tcW w:w="1115" w:type="dxa"/>
            <w:shd w:val="clear" w:color="auto" w:fill="auto"/>
            <w:vAlign w:val="center"/>
          </w:tcPr>
          <w:p w14:paraId="74AF3CE4">
            <w:pPr>
              <w:spacing w:line="276" w:lineRule="auto"/>
              <w:ind w:left="420"/>
              <w:jc w:val="center"/>
              <w:rPr>
                <w:sz w:val="18"/>
                <w:szCs w:val="18"/>
              </w:rPr>
            </w:pPr>
            <w:r>
              <w:rPr>
                <w:rFonts w:hint="eastAsia"/>
                <w:sz w:val="18"/>
                <w:szCs w:val="18"/>
              </w:rPr>
              <w:t>4</w:t>
            </w:r>
          </w:p>
        </w:tc>
        <w:tc>
          <w:tcPr>
            <w:tcW w:w="1115" w:type="dxa"/>
            <w:shd w:val="clear" w:color="auto" w:fill="auto"/>
            <w:vAlign w:val="center"/>
          </w:tcPr>
          <w:p w14:paraId="12E83F22">
            <w:pPr>
              <w:spacing w:line="276" w:lineRule="auto"/>
              <w:ind w:left="420"/>
              <w:jc w:val="center"/>
              <w:rPr>
                <w:sz w:val="18"/>
                <w:szCs w:val="18"/>
              </w:rPr>
            </w:pPr>
            <w:r>
              <w:rPr>
                <w:rFonts w:hint="eastAsia"/>
                <w:sz w:val="18"/>
                <w:szCs w:val="18"/>
              </w:rPr>
              <w:t>4/13</w:t>
            </w:r>
          </w:p>
        </w:tc>
        <w:tc>
          <w:tcPr>
            <w:tcW w:w="1115" w:type="dxa"/>
            <w:shd w:val="clear" w:color="auto" w:fill="auto"/>
            <w:vAlign w:val="center"/>
          </w:tcPr>
          <w:p w14:paraId="2F9D8B02">
            <w:pPr>
              <w:spacing w:line="276" w:lineRule="auto"/>
              <w:ind w:left="420"/>
              <w:jc w:val="center"/>
              <w:rPr>
                <w:sz w:val="18"/>
                <w:szCs w:val="18"/>
              </w:rPr>
            </w:pPr>
            <w:r>
              <w:rPr>
                <w:rFonts w:hint="eastAsia"/>
                <w:sz w:val="18"/>
                <w:szCs w:val="18"/>
              </w:rPr>
              <w:t>30.8</w:t>
            </w:r>
          </w:p>
        </w:tc>
      </w:tr>
      <w:tr w14:paraId="1831A448">
        <w:tblPrEx>
          <w:tblCellMar>
            <w:top w:w="0" w:type="dxa"/>
            <w:left w:w="108" w:type="dxa"/>
            <w:bottom w:w="0" w:type="dxa"/>
            <w:right w:w="108" w:type="dxa"/>
          </w:tblCellMar>
        </w:tblPrEx>
        <w:trPr>
          <w:trHeight w:val="340" w:hRule="atLeast"/>
        </w:trPr>
        <w:tc>
          <w:tcPr>
            <w:tcW w:w="1333" w:type="dxa"/>
            <w:tcBorders>
              <w:bottom w:val="single" w:color="auto" w:sz="4" w:space="0"/>
            </w:tcBorders>
            <w:shd w:val="clear" w:color="auto" w:fill="auto"/>
          </w:tcPr>
          <w:p w14:paraId="3BBCDDCD">
            <w:pPr>
              <w:spacing w:line="276" w:lineRule="auto"/>
              <w:ind w:left="420"/>
              <w:jc w:val="center"/>
              <w:rPr>
                <w:sz w:val="18"/>
                <w:szCs w:val="18"/>
              </w:rPr>
            </w:pPr>
            <w:r>
              <w:rPr>
                <w:rFonts w:hint="eastAsia"/>
                <w:sz w:val="18"/>
                <w:szCs w:val="18"/>
              </w:rPr>
              <w:t>10</w:t>
            </w:r>
            <w:r>
              <w:rPr>
                <w:sz w:val="18"/>
                <w:szCs w:val="18"/>
                <w:vertAlign w:val="superscript"/>
              </w:rPr>
              <w:t>-8</w:t>
            </w:r>
          </w:p>
        </w:tc>
        <w:tc>
          <w:tcPr>
            <w:tcW w:w="1276" w:type="dxa"/>
            <w:tcBorders>
              <w:bottom w:val="single" w:color="auto" w:sz="4" w:space="0"/>
            </w:tcBorders>
            <w:shd w:val="clear" w:color="auto" w:fill="auto"/>
            <w:vAlign w:val="center"/>
          </w:tcPr>
          <w:p w14:paraId="0A606D33">
            <w:pPr>
              <w:spacing w:line="276" w:lineRule="auto"/>
              <w:ind w:left="420"/>
              <w:jc w:val="center"/>
              <w:rPr>
                <w:sz w:val="18"/>
                <w:szCs w:val="18"/>
              </w:rPr>
            </w:pPr>
            <w:r>
              <w:rPr>
                <w:rFonts w:hint="eastAsia"/>
                <w:sz w:val="18"/>
                <w:szCs w:val="18"/>
              </w:rPr>
              <w:t>8</w:t>
            </w:r>
          </w:p>
        </w:tc>
        <w:tc>
          <w:tcPr>
            <w:tcW w:w="736" w:type="dxa"/>
            <w:tcBorders>
              <w:bottom w:val="single" w:color="auto" w:sz="4" w:space="0"/>
            </w:tcBorders>
            <w:shd w:val="clear" w:color="auto" w:fill="auto"/>
            <w:vAlign w:val="center"/>
          </w:tcPr>
          <w:p w14:paraId="2F35C9EC">
            <w:pPr>
              <w:spacing w:line="276" w:lineRule="auto"/>
              <w:ind w:left="420"/>
              <w:jc w:val="center"/>
              <w:rPr>
                <w:sz w:val="18"/>
                <w:szCs w:val="18"/>
              </w:rPr>
            </w:pPr>
            <w:r>
              <w:rPr>
                <w:sz w:val="18"/>
                <w:szCs w:val="18"/>
              </w:rPr>
              <w:t>7</w:t>
            </w:r>
          </w:p>
        </w:tc>
        <w:tc>
          <w:tcPr>
            <w:tcW w:w="1115" w:type="dxa"/>
            <w:tcBorders>
              <w:bottom w:val="single" w:color="auto" w:sz="4" w:space="0"/>
            </w:tcBorders>
            <w:shd w:val="clear" w:color="auto" w:fill="auto"/>
            <w:vAlign w:val="center"/>
          </w:tcPr>
          <w:p w14:paraId="5AC23F43">
            <w:pPr>
              <w:spacing w:line="276" w:lineRule="auto"/>
              <w:ind w:left="420"/>
              <w:jc w:val="center"/>
              <w:rPr>
                <w:sz w:val="18"/>
                <w:szCs w:val="18"/>
              </w:rPr>
            </w:pPr>
            <w:r>
              <w:rPr>
                <w:sz w:val="18"/>
                <w:szCs w:val="18"/>
              </w:rPr>
              <w:t>1</w:t>
            </w:r>
          </w:p>
        </w:tc>
        <w:tc>
          <w:tcPr>
            <w:tcW w:w="1115" w:type="dxa"/>
            <w:tcBorders>
              <w:bottom w:val="single" w:color="auto" w:sz="4" w:space="0"/>
            </w:tcBorders>
            <w:shd w:val="clear" w:color="auto" w:fill="auto"/>
            <w:vAlign w:val="center"/>
          </w:tcPr>
          <w:p w14:paraId="179042FB">
            <w:pPr>
              <w:spacing w:line="276" w:lineRule="auto"/>
              <w:ind w:left="420"/>
              <w:jc w:val="center"/>
              <w:rPr>
                <w:sz w:val="18"/>
                <w:szCs w:val="18"/>
              </w:rPr>
            </w:pPr>
            <w:r>
              <w:rPr>
                <w:sz w:val="18"/>
                <w:szCs w:val="18"/>
              </w:rPr>
              <w:t>16</w:t>
            </w:r>
          </w:p>
        </w:tc>
        <w:tc>
          <w:tcPr>
            <w:tcW w:w="1115" w:type="dxa"/>
            <w:tcBorders>
              <w:bottom w:val="single" w:color="auto" w:sz="4" w:space="0"/>
            </w:tcBorders>
            <w:shd w:val="clear" w:color="auto" w:fill="auto"/>
            <w:vAlign w:val="center"/>
          </w:tcPr>
          <w:p w14:paraId="5B4DA574">
            <w:pPr>
              <w:spacing w:line="276" w:lineRule="auto"/>
              <w:ind w:left="420"/>
              <w:jc w:val="center"/>
              <w:rPr>
                <w:sz w:val="18"/>
                <w:szCs w:val="18"/>
              </w:rPr>
            </w:pPr>
            <w:r>
              <w:rPr>
                <w:rFonts w:hint="eastAsia"/>
                <w:sz w:val="18"/>
                <w:szCs w:val="18"/>
              </w:rPr>
              <w:t>1</w:t>
            </w:r>
          </w:p>
        </w:tc>
        <w:tc>
          <w:tcPr>
            <w:tcW w:w="1115" w:type="dxa"/>
            <w:tcBorders>
              <w:bottom w:val="single" w:color="auto" w:sz="4" w:space="0"/>
            </w:tcBorders>
            <w:shd w:val="clear" w:color="auto" w:fill="auto"/>
            <w:vAlign w:val="center"/>
          </w:tcPr>
          <w:p w14:paraId="7DA495A5">
            <w:pPr>
              <w:spacing w:line="276" w:lineRule="auto"/>
              <w:ind w:left="420"/>
              <w:jc w:val="center"/>
              <w:rPr>
                <w:sz w:val="18"/>
                <w:szCs w:val="18"/>
              </w:rPr>
            </w:pPr>
            <w:r>
              <w:rPr>
                <w:rFonts w:hint="eastAsia"/>
                <w:sz w:val="18"/>
                <w:szCs w:val="18"/>
              </w:rPr>
              <w:t>1/17</w:t>
            </w:r>
          </w:p>
        </w:tc>
        <w:tc>
          <w:tcPr>
            <w:tcW w:w="1115" w:type="dxa"/>
            <w:tcBorders>
              <w:bottom w:val="single" w:color="auto" w:sz="4" w:space="0"/>
            </w:tcBorders>
            <w:shd w:val="clear" w:color="auto" w:fill="auto"/>
            <w:vAlign w:val="center"/>
          </w:tcPr>
          <w:p w14:paraId="25CE5164">
            <w:pPr>
              <w:spacing w:line="276" w:lineRule="auto"/>
              <w:ind w:left="420"/>
              <w:jc w:val="center"/>
              <w:rPr>
                <w:sz w:val="18"/>
                <w:szCs w:val="18"/>
              </w:rPr>
            </w:pPr>
            <w:r>
              <w:rPr>
                <w:rFonts w:hint="eastAsia"/>
                <w:sz w:val="18"/>
                <w:szCs w:val="18"/>
              </w:rPr>
              <w:t>5.9</w:t>
            </w:r>
          </w:p>
        </w:tc>
      </w:tr>
    </w:tbl>
    <w:p w14:paraId="10329CB1">
      <w:pPr>
        <w:spacing w:line="276" w:lineRule="auto"/>
        <w:ind w:left="420" w:firstLine="420" w:firstLineChars="200"/>
        <w:rPr>
          <w:szCs w:val="21"/>
        </w:rPr>
      </w:pPr>
      <w:r>
        <w:rPr>
          <w:rFonts w:hint="eastAsia"/>
          <w:szCs w:val="21"/>
        </w:rPr>
        <w:t>本例中，高于</w:t>
      </w:r>
      <w:r>
        <w:rPr>
          <w:szCs w:val="21"/>
        </w:rPr>
        <w:t xml:space="preserve"> 50% 组病变率为 69.2%；低于 50%病变率为 30.8%；高于 50%组稀释度对</w:t>
      </w:r>
      <w:r>
        <w:rPr>
          <w:rFonts w:hint="eastAsia"/>
          <w:szCs w:val="21"/>
        </w:rPr>
        <w:t>数值为</w:t>
      </w:r>
      <w:r>
        <w:rPr>
          <w:szCs w:val="21"/>
        </w:rPr>
        <w:t xml:space="preserve"> 6。所以</w:t>
      </w:r>
      <w:r>
        <w:rPr>
          <w:rFonts w:hint="eastAsia"/>
          <w:szCs w:val="21"/>
        </w:rPr>
        <w:t>距离比例</w:t>
      </w:r>
      <w:r>
        <w:rPr>
          <w:szCs w:val="21"/>
        </w:rPr>
        <w:t>=（69.2–50）/（69.2–30.8）=0.5</w:t>
      </w:r>
    </w:p>
    <w:p w14:paraId="508DBE4E">
      <w:pPr>
        <w:spacing w:line="276" w:lineRule="auto"/>
        <w:ind w:left="420" w:firstLine="420" w:firstLineChars="200"/>
        <w:rPr>
          <w:szCs w:val="21"/>
        </w:rPr>
      </w:pPr>
      <w:r>
        <w:rPr>
          <w:szCs w:val="21"/>
        </w:rPr>
        <w:t>TCID</w:t>
      </w:r>
      <w:r>
        <w:rPr>
          <w:szCs w:val="21"/>
          <w:vertAlign w:val="subscript"/>
        </w:rPr>
        <w:t>50</w:t>
      </w:r>
      <w:r>
        <w:rPr>
          <w:szCs w:val="21"/>
        </w:rPr>
        <w:t xml:space="preserve"> 对数值 = 6+0.5 = 6.5</w:t>
      </w:r>
    </w:p>
    <w:p w14:paraId="42F0388A">
      <w:pPr>
        <w:spacing w:line="276" w:lineRule="auto"/>
        <w:ind w:left="420" w:firstLine="200"/>
        <w:rPr>
          <w:spacing w:val="-9"/>
          <w:w w:val="95"/>
          <w:szCs w:val="21"/>
        </w:rPr>
      </w:pPr>
    </w:p>
    <w:p w14:paraId="6592238E">
      <w:pPr>
        <w:spacing w:line="276" w:lineRule="auto"/>
        <w:ind w:left="420" w:firstLine="200"/>
        <w:rPr>
          <w:spacing w:val="-9"/>
          <w:w w:val="95"/>
          <w:szCs w:val="21"/>
        </w:rPr>
        <w:sectPr>
          <w:footerReference r:id="rId16" w:type="default"/>
          <w:footerReference r:id="rId17" w:type="even"/>
          <w:pgSz w:w="11905" w:h="16838"/>
          <w:pgMar w:top="1417" w:right="1417" w:bottom="1417" w:left="1417" w:header="850" w:footer="850" w:gutter="0"/>
          <w:cols w:space="0" w:num="1"/>
          <w:docGrid w:type="lines" w:linePitch="313" w:charSpace="0"/>
        </w:sectPr>
      </w:pPr>
    </w:p>
    <w:p w14:paraId="0DD639B1">
      <w:pPr>
        <w:pStyle w:val="137"/>
        <w:spacing w:line="276" w:lineRule="auto"/>
        <w:ind w:left="420"/>
        <w:rPr>
          <w:rFonts w:ascii="Times New Roman"/>
        </w:rPr>
      </w:pPr>
      <w:r>
        <w:rPr>
          <w:rFonts w:ascii="Times New Roman"/>
        </w:rPr>
        <w:br w:type="textWrapping"/>
      </w:r>
      <w:bookmarkStart w:id="76" w:name="_Toc186818493"/>
      <w:r>
        <w:rPr>
          <w:rFonts w:hint="eastAsia" w:ascii="Times New Roman"/>
        </w:rPr>
        <w:t>（资料性）</w:t>
      </w:r>
      <w:r>
        <w:rPr>
          <w:rFonts w:ascii="Times New Roman"/>
        </w:rPr>
        <w:br w:type="textWrapping"/>
      </w:r>
      <w:r>
        <w:rPr>
          <w:rFonts w:hint="eastAsia" w:ascii="Times New Roman"/>
        </w:rPr>
        <w:t>活菌数量检测</w:t>
      </w:r>
      <w:r>
        <w:rPr>
          <w:rFonts w:ascii="Times New Roman"/>
        </w:rPr>
        <w:t>方法</w:t>
      </w:r>
      <w:bookmarkEnd w:id="76"/>
    </w:p>
    <w:p w14:paraId="5C032E9B">
      <w:pPr>
        <w:spacing w:line="276" w:lineRule="auto"/>
      </w:pPr>
      <w:r>
        <w:rPr>
          <w:rFonts w:hint="eastAsia"/>
        </w:rPr>
        <w:t>活菌计数法常用的有平板菌落计数法（</w:t>
      </w:r>
      <w:r>
        <w:t>CFU</w:t>
      </w:r>
      <w:r>
        <w:rPr>
          <w:rFonts w:hint="eastAsia"/>
        </w:rPr>
        <w:t>法）：</w:t>
      </w:r>
    </w:p>
    <w:p w14:paraId="74DF86F7">
      <w:pPr>
        <w:spacing w:line="276" w:lineRule="auto"/>
      </w:pPr>
      <w:r>
        <w:rPr>
          <w:rFonts w:hint="eastAsia" w:ascii="黑体" w:hAnsi="黑体" w:eastAsia="黑体" w:cs="黑体"/>
        </w:rPr>
        <w:t xml:space="preserve">D.1  </w:t>
      </w:r>
      <w:r>
        <w:rPr>
          <w:rFonts w:hint="eastAsia"/>
        </w:rPr>
        <w:t>将</w:t>
      </w:r>
      <w:r>
        <w:t>肺组织匀浆后离心取</w:t>
      </w:r>
      <w:r>
        <w:rPr>
          <w:rFonts w:hint="eastAsia"/>
        </w:rPr>
        <w:t>上清</w:t>
      </w:r>
      <w:r>
        <w:t>，将上清</w:t>
      </w:r>
      <w:r>
        <w:rPr>
          <w:rFonts w:hint="eastAsia"/>
        </w:rPr>
        <w:t>进行</w:t>
      </w:r>
      <w:r>
        <w:t xml:space="preserve"> 10 倍</w:t>
      </w:r>
      <w:r>
        <w:rPr>
          <w:rFonts w:hint="eastAsia"/>
        </w:rPr>
        <w:t>梯度</w:t>
      </w:r>
      <w:r>
        <w:t>稀释</w:t>
      </w:r>
      <w:r>
        <w:rPr>
          <w:rFonts w:hint="eastAsia"/>
        </w:rPr>
        <w:t>；</w:t>
      </w:r>
    </w:p>
    <w:p w14:paraId="5EDDCC63">
      <w:pPr>
        <w:spacing w:line="276" w:lineRule="auto"/>
      </w:pPr>
      <w:r>
        <w:rPr>
          <w:rFonts w:hint="eastAsia" w:ascii="黑体" w:hAnsi="黑体" w:eastAsia="黑体" w:cs="黑体"/>
        </w:rPr>
        <w:t xml:space="preserve">D.2  </w:t>
      </w:r>
      <w:r>
        <w:rPr>
          <w:rFonts w:hint="eastAsia"/>
        </w:rPr>
        <w:t>每个稀释液中分别取出1mL置于灭菌平皿中与营养琼脂培养基混合，在一定温度下，培养一定时间后（一般为48小时），记录每个平皿中形成的菌落数量，依据稀释倍数，计算出每mL原始样品中所含活细菌的总数。</w:t>
      </w:r>
    </w:p>
    <w:p w14:paraId="35D4ED1E">
      <w:pPr>
        <w:spacing w:line="276" w:lineRule="auto"/>
        <w:ind w:firstLine="420" w:firstLineChars="200"/>
      </w:pPr>
      <w:r>
        <w:rPr>
          <w:rFonts w:hint="eastAsia"/>
        </w:rPr>
        <w:t>计数单位：</w:t>
      </w:r>
      <w:r>
        <w:t>CFU</w:t>
      </w:r>
      <w:r>
        <w:rPr>
          <w:rFonts w:hint="eastAsia"/>
        </w:rPr>
        <w:t>/mL（</w:t>
      </w:r>
      <w:r>
        <w:t>CFU</w:t>
      </w:r>
      <w:r>
        <w:rPr>
          <w:rFonts w:hint="eastAsia"/>
        </w:rPr>
        <w:t>是菌落形成单位，是指由单个菌体或聚集成团的多个菌体在固体培养基上生长繁殖所形成的集落，称为菌落形成单位，是计算细菌或霉菌数量的单位。</w:t>
      </w:r>
    </w:p>
    <w:p w14:paraId="0D2DE58B">
      <w:pPr>
        <w:spacing w:line="276" w:lineRule="auto"/>
        <w:ind w:firstLine="200"/>
        <w:rPr>
          <w:spacing w:val="-9"/>
          <w:w w:val="95"/>
          <w:szCs w:val="21"/>
        </w:rPr>
        <w:sectPr>
          <w:footerReference r:id="rId18" w:type="default"/>
          <w:footerReference r:id="rId19" w:type="even"/>
          <w:pgSz w:w="11905" w:h="16838"/>
          <w:pgMar w:top="1417" w:right="1417" w:bottom="1417" w:left="1417" w:header="850" w:footer="850" w:gutter="0"/>
          <w:cols w:space="0" w:num="1"/>
          <w:docGrid w:type="lines" w:linePitch="313" w:charSpace="0"/>
        </w:sectPr>
      </w:pPr>
    </w:p>
    <w:p w14:paraId="49AC882E">
      <w:pPr>
        <w:pStyle w:val="137"/>
        <w:spacing w:line="276" w:lineRule="auto"/>
        <w:ind w:left="420"/>
        <w:rPr>
          <w:rFonts w:ascii="Times New Roman"/>
        </w:rPr>
      </w:pPr>
      <w:bookmarkStart w:id="77" w:name="_Toc181626926"/>
      <w:bookmarkStart w:id="78" w:name="_Toc184293586"/>
      <w:r>
        <w:rPr>
          <w:rFonts w:ascii="Times New Roman"/>
        </w:rPr>
        <w:br w:type="textWrapping"/>
      </w:r>
      <w:bookmarkStart w:id="79" w:name="_Toc186818494"/>
      <w:r>
        <w:rPr>
          <w:rFonts w:hint="eastAsia" w:ascii="Times New Roman"/>
        </w:rPr>
        <w:t>（资料性）</w:t>
      </w:r>
      <w:r>
        <w:rPr>
          <w:rFonts w:ascii="Times New Roman"/>
        </w:rPr>
        <w:br w:type="textWrapping"/>
      </w:r>
      <w:r>
        <w:rPr>
          <w:rFonts w:hint="eastAsia" w:ascii="Times New Roman"/>
        </w:rPr>
        <w:t>大体病理学观察评价标准</w:t>
      </w:r>
      <w:bookmarkEnd w:id="77"/>
      <w:bookmarkEnd w:id="78"/>
      <w:bookmarkEnd w:id="79"/>
    </w:p>
    <w:p w14:paraId="5CDC35DA">
      <w:pPr>
        <w:pStyle w:val="62"/>
        <w:numPr>
          <w:ilvl w:val="1"/>
          <w:numId w:val="0"/>
        </w:numPr>
        <w:spacing w:before="313" w:beforeLines="100" w:after="313" w:afterLines="100" w:line="276" w:lineRule="auto"/>
        <w:jc w:val="both"/>
        <w:rPr>
          <w:rFonts w:hAnsi="黑体" w:cs="黑体"/>
        </w:rPr>
      </w:pPr>
      <w:r>
        <w:rPr>
          <w:rFonts w:hint="eastAsia" w:hAnsi="黑体" w:cs="黑体"/>
        </w:rPr>
        <w:t>E.1  轻度（Ⅰ 级）</w:t>
      </w:r>
    </w:p>
    <w:p w14:paraId="59CFBA48">
      <w:pPr>
        <w:spacing w:line="276" w:lineRule="auto"/>
        <w:ind w:firstLine="420" w:firstLineChars="200"/>
      </w:pPr>
      <w:r>
        <w:t>肺脏外观基本正常，色泽稍红，表面光滑。</w:t>
      </w:r>
    </w:p>
    <w:p w14:paraId="2FE93161">
      <w:pPr>
        <w:spacing w:line="276" w:lineRule="auto"/>
        <w:ind w:firstLine="420" w:firstLineChars="200"/>
      </w:pPr>
      <w:r>
        <w:t>质地稍软，弹性尚可，轻度充血，无明显的出血、坏死或脓肿形成。</w:t>
      </w:r>
    </w:p>
    <w:p w14:paraId="54CDD0AF">
      <w:pPr>
        <w:pStyle w:val="62"/>
        <w:numPr>
          <w:ilvl w:val="1"/>
          <w:numId w:val="0"/>
        </w:numPr>
        <w:spacing w:before="313" w:beforeLines="100" w:after="313" w:afterLines="100" w:line="276" w:lineRule="auto"/>
        <w:jc w:val="both"/>
        <w:rPr>
          <w:rFonts w:hAnsi="黑体" w:cs="黑体"/>
        </w:rPr>
      </w:pPr>
      <w:r>
        <w:rPr>
          <w:rFonts w:hint="eastAsia" w:hAnsi="黑体" w:cs="黑体"/>
        </w:rPr>
        <w:t>E.2  中度（Ⅱ 级）</w:t>
      </w:r>
    </w:p>
    <w:p w14:paraId="7CDA2DD7">
      <w:pPr>
        <w:spacing w:line="276" w:lineRule="auto"/>
        <w:ind w:firstLine="420" w:firstLineChars="200"/>
      </w:pPr>
      <w:r>
        <w:t>肺脏表面可见散在的小出血点，色泽暗红，有轻度的水肿，表面稍粗糙。</w:t>
      </w:r>
    </w:p>
    <w:p w14:paraId="388F60D5">
      <w:pPr>
        <w:spacing w:line="276" w:lineRule="auto"/>
        <w:ind w:firstLine="420" w:firstLineChars="200"/>
      </w:pPr>
      <w:r>
        <w:t>质地较软，弹性减弱，可观察到局部小范围的实变区，切开肺组织可见少量渗出液，但无明显坏死或脓肿。</w:t>
      </w:r>
    </w:p>
    <w:p w14:paraId="04A032B2">
      <w:pPr>
        <w:pStyle w:val="62"/>
        <w:numPr>
          <w:ilvl w:val="1"/>
          <w:numId w:val="0"/>
        </w:numPr>
        <w:spacing w:before="313" w:beforeLines="100" w:after="313" w:afterLines="100" w:line="276" w:lineRule="auto"/>
        <w:jc w:val="both"/>
        <w:rPr>
          <w:rFonts w:hAnsi="黑体" w:cs="黑体"/>
        </w:rPr>
      </w:pPr>
      <w:r>
        <w:rPr>
          <w:rFonts w:hint="eastAsia" w:hAnsi="黑体" w:cs="黑体"/>
        </w:rPr>
        <w:t>E.3  重度（Ⅲ 级）</w:t>
      </w:r>
    </w:p>
    <w:p w14:paraId="1E829992">
      <w:pPr>
        <w:spacing w:line="276" w:lineRule="auto"/>
        <w:ind w:firstLine="420" w:firstLineChars="200"/>
      </w:pPr>
      <w:r>
        <w:t>肺脏表面有广泛的出血点和瘀斑，色泽暗紫，明显水肿，表面粗糙不平。</w:t>
      </w:r>
    </w:p>
    <w:p w14:paraId="0BAEA407">
      <w:pPr>
        <w:spacing w:line="276" w:lineRule="auto"/>
        <w:ind w:firstLine="420" w:firstLineChars="200"/>
      </w:pPr>
      <w:r>
        <w:t>质地硬，弹性差，有大片实变区，切开肺组织有较多渗出液，可见散在的小坏死灶，但尚未形成明显的脓肿。</w:t>
      </w:r>
    </w:p>
    <w:p w14:paraId="497C5617">
      <w:pPr>
        <w:pStyle w:val="62"/>
        <w:numPr>
          <w:ilvl w:val="1"/>
          <w:numId w:val="0"/>
        </w:numPr>
        <w:spacing w:before="313" w:beforeLines="100" w:after="313" w:afterLines="100" w:line="276" w:lineRule="auto"/>
        <w:jc w:val="both"/>
        <w:rPr>
          <w:rFonts w:hAnsi="黑体" w:cs="黑体"/>
        </w:rPr>
      </w:pPr>
      <w:r>
        <w:rPr>
          <w:rFonts w:hint="eastAsia" w:hAnsi="黑体" w:cs="黑体"/>
        </w:rPr>
        <w:t>E.4  极重度（Ⅳ 级）</w:t>
      </w:r>
    </w:p>
    <w:p w14:paraId="42487208">
      <w:pPr>
        <w:spacing w:line="276" w:lineRule="auto"/>
        <w:ind w:firstLine="420" w:firstLineChars="200"/>
      </w:pPr>
      <w:r>
        <w:t>肺脏外观严重变形，体积增大，表面布满出血斑和坏死灶，色泽发黑。</w:t>
      </w:r>
    </w:p>
    <w:p w14:paraId="3CA8DAD6">
      <w:pPr>
        <w:spacing w:line="276" w:lineRule="auto"/>
        <w:ind w:firstLine="420" w:firstLineChars="200"/>
      </w:pPr>
      <w:r>
        <w:t>质地极硬，弹性丧失，几乎全肺实变，有大量脓性渗出物，可见明显的脓肿形成，肺组织与周围组织粘连。</w:t>
      </w:r>
    </w:p>
    <w:p w14:paraId="260059F5">
      <w:pPr>
        <w:spacing w:line="276" w:lineRule="auto"/>
        <w:ind w:firstLine="420" w:firstLineChars="200"/>
        <w:rPr>
          <w:szCs w:val="21"/>
        </w:rPr>
      </w:pPr>
      <w:r>
        <w:rPr>
          <w:rFonts w:hint="eastAsia"/>
          <w:szCs w:val="21"/>
        </w:rPr>
        <w:t xml:space="preserve"> </w:t>
      </w:r>
    </w:p>
    <w:p w14:paraId="15FF499D">
      <w:pPr>
        <w:spacing w:line="276" w:lineRule="auto"/>
        <w:ind w:left="420"/>
        <w:rPr>
          <w:spacing w:val="-9"/>
          <w:w w:val="95"/>
          <w:szCs w:val="21"/>
        </w:rPr>
      </w:pPr>
      <w:r>
        <w:rPr>
          <w:rFonts w:hint="eastAsia"/>
          <w:spacing w:val="-9"/>
          <w:w w:val="95"/>
          <w:szCs w:val="21"/>
        </w:rPr>
        <w:br w:type="page"/>
      </w:r>
    </w:p>
    <w:p w14:paraId="4B2E26FE">
      <w:pPr>
        <w:pStyle w:val="137"/>
        <w:spacing w:line="276" w:lineRule="auto"/>
        <w:ind w:left="420"/>
        <w:rPr>
          <w:rFonts w:ascii="Times New Roman"/>
        </w:rPr>
      </w:pPr>
      <w:bookmarkStart w:id="80" w:name="_Toc184293590"/>
      <w:bookmarkStart w:id="81" w:name="_Toc181354870"/>
      <w:r>
        <w:rPr>
          <w:rFonts w:ascii="Times New Roman"/>
        </w:rPr>
        <w:br w:type="textWrapping"/>
      </w:r>
      <w:bookmarkStart w:id="82" w:name="_Toc186818495"/>
      <w:r>
        <w:rPr>
          <w:rFonts w:hint="eastAsia" w:ascii="Times New Roman"/>
        </w:rPr>
        <w:t>（资料性）</w:t>
      </w:r>
      <w:r>
        <w:rPr>
          <w:rFonts w:ascii="Times New Roman"/>
        </w:rPr>
        <w:br w:type="textWrapping"/>
      </w:r>
      <w:r>
        <w:rPr>
          <w:rFonts w:hint="eastAsia" w:ascii="Times New Roman"/>
        </w:rPr>
        <w:t>肺生理功能</w:t>
      </w:r>
      <w:r>
        <w:rPr>
          <w:rFonts w:ascii="Times New Roman"/>
        </w:rPr>
        <w:t>指标的</w:t>
      </w:r>
      <w:r>
        <w:rPr>
          <w:rFonts w:hint="eastAsia" w:ascii="Times New Roman"/>
        </w:rPr>
        <w:t>生理意义</w:t>
      </w:r>
      <w:bookmarkEnd w:id="80"/>
      <w:bookmarkEnd w:id="82"/>
    </w:p>
    <w:p w14:paraId="765B3BF4">
      <w:pPr>
        <w:spacing w:line="276" w:lineRule="auto"/>
      </w:pPr>
      <w:r>
        <w:rPr>
          <w:rFonts w:hint="eastAsia" w:ascii="黑体" w:hAnsi="黑体" w:eastAsia="黑体" w:cs="黑体"/>
        </w:rPr>
        <w:t xml:space="preserve">F.1  </w:t>
      </w:r>
      <w:r>
        <w:t>吸气时间和呼气时间</w:t>
      </w:r>
      <w:r>
        <w:rPr>
          <w:rFonts w:hint="eastAsia"/>
        </w:rPr>
        <w:t>：</w:t>
      </w:r>
      <w:r>
        <w:t>反映呼吸道阻塞的情况</w:t>
      </w:r>
      <w:r>
        <w:rPr>
          <w:rFonts w:hint="eastAsia"/>
        </w:rPr>
        <w:t>，时间延长提示呼吸道存在阻塞。</w:t>
      </w:r>
    </w:p>
    <w:p w14:paraId="047BEC6C">
      <w:pPr>
        <w:spacing w:line="276" w:lineRule="auto"/>
      </w:pPr>
      <w:r>
        <w:rPr>
          <w:rFonts w:hint="eastAsia" w:ascii="黑体" w:hAnsi="黑体" w:eastAsia="黑体" w:cs="黑体"/>
        </w:rPr>
        <w:t xml:space="preserve">F.2  </w:t>
      </w:r>
      <w:r>
        <w:t>呼吸频率、潮气量和每分钟通气量</w:t>
      </w:r>
      <w:r>
        <w:rPr>
          <w:rFonts w:hint="eastAsia"/>
        </w:rPr>
        <w:t>：</w:t>
      </w:r>
      <w:r>
        <w:t>肺通气不足</w:t>
      </w:r>
      <w:r>
        <w:rPr>
          <w:rFonts w:hint="eastAsia"/>
        </w:rPr>
        <w:t>时</w:t>
      </w:r>
      <w:r>
        <w:t>，潮气量</w:t>
      </w:r>
      <w:r>
        <w:rPr>
          <w:rFonts w:hint="eastAsia"/>
        </w:rPr>
        <w:t>和</w:t>
      </w:r>
      <w:r>
        <w:t>每分钟通气量</w:t>
      </w:r>
      <w:r>
        <w:rPr>
          <w:rFonts w:hint="eastAsia"/>
        </w:rPr>
        <w:t>降低，</w:t>
      </w:r>
      <w:r>
        <w:t>呼吸频率增强。</w:t>
      </w:r>
    </w:p>
    <w:p w14:paraId="24B4BD77">
      <w:pPr>
        <w:spacing w:line="276" w:lineRule="auto"/>
      </w:pPr>
      <w:r>
        <w:rPr>
          <w:rFonts w:hint="eastAsia" w:ascii="黑体" w:hAnsi="黑体" w:eastAsia="黑体" w:cs="黑体"/>
        </w:rPr>
        <w:t xml:space="preserve">F.3  </w:t>
      </w:r>
      <w:r>
        <w:t>气道狭窄指数</w:t>
      </w:r>
      <w:r>
        <w:rPr>
          <w:rFonts w:hint="eastAsia"/>
        </w:rPr>
        <w:t>：</w:t>
      </w:r>
      <w:r>
        <w:t>是测量气道狭窄反应性的指标</w:t>
      </w:r>
      <w:r>
        <w:rPr>
          <w:rFonts w:hint="eastAsia"/>
        </w:rPr>
        <w:t>。</w:t>
      </w:r>
    </w:p>
    <w:p w14:paraId="6B267942">
      <w:pPr>
        <w:spacing w:line="276" w:lineRule="auto"/>
      </w:pPr>
      <w:r>
        <w:rPr>
          <w:rFonts w:hint="eastAsia" w:ascii="黑体" w:hAnsi="黑体" w:eastAsia="黑体" w:cs="黑体"/>
        </w:rPr>
        <w:t xml:space="preserve">F.4  </w:t>
      </w:r>
      <w:r>
        <w:t>最大吸气流速</w:t>
      </w:r>
      <w:r>
        <w:rPr>
          <w:rFonts w:hint="eastAsia"/>
        </w:rPr>
        <w:t>、</w:t>
      </w:r>
      <w:r>
        <w:t>最大呼气流速和呼气峰值时间比率</w:t>
      </w:r>
      <w:r>
        <w:rPr>
          <w:rFonts w:hint="eastAsia"/>
        </w:rPr>
        <w:t>：</w:t>
      </w:r>
      <w:r>
        <w:t>反映呼吸肌的力量及小气道阻塞情况</w:t>
      </w:r>
      <w:r>
        <w:rPr>
          <w:rFonts w:hint="eastAsia"/>
        </w:rPr>
        <w:t>，流速降低时间比率</w:t>
      </w:r>
      <w:r>
        <w:t>延长提示</w:t>
      </w:r>
      <w:r>
        <w:rPr>
          <w:rFonts w:hint="eastAsia"/>
        </w:rPr>
        <w:t>呼吸</w:t>
      </w:r>
      <w:r>
        <w:t>肌疲劳</w:t>
      </w:r>
      <w:r>
        <w:rPr>
          <w:rFonts w:hint="eastAsia"/>
        </w:rPr>
        <w:t>及</w:t>
      </w:r>
      <w:r>
        <w:t>收缩无力</w:t>
      </w:r>
      <w:r>
        <w:rPr>
          <w:rFonts w:hint="eastAsia"/>
        </w:rPr>
        <w:t>，</w:t>
      </w:r>
      <w:r>
        <w:t>气流受限。</w:t>
      </w:r>
    </w:p>
    <w:p w14:paraId="29C2276C">
      <w:pPr>
        <w:spacing w:line="276" w:lineRule="auto"/>
      </w:pPr>
      <w:r>
        <w:rPr>
          <w:rFonts w:hint="eastAsia" w:ascii="黑体" w:hAnsi="黑体" w:eastAsia="黑体" w:cs="黑体"/>
        </w:rPr>
        <w:t xml:space="preserve">F.5  </w:t>
      </w:r>
      <w:r>
        <w:rPr>
          <w:rFonts w:hint="eastAsia"/>
        </w:rPr>
        <w:t>呼气中期流速</w:t>
      </w:r>
      <w:r>
        <w:t>、松弛时间和呼吸暂停</w:t>
      </w:r>
      <w:r>
        <w:rPr>
          <w:rFonts w:hint="eastAsia"/>
        </w:rPr>
        <w:t>：</w:t>
      </w:r>
      <w:r>
        <w:t>反应气道阻力的指标</w:t>
      </w:r>
      <w:r>
        <w:rPr>
          <w:rFonts w:hint="eastAsia"/>
        </w:rPr>
        <w:t>，呼气中期流速降低</w:t>
      </w:r>
      <w:r>
        <w:t>、松弛时间和呼吸暂停</w:t>
      </w:r>
      <w:r>
        <w:rPr>
          <w:rFonts w:hint="eastAsia"/>
        </w:rPr>
        <w:t>延长</w:t>
      </w:r>
      <w:r>
        <w:t>，</w:t>
      </w:r>
      <w:r>
        <w:rPr>
          <w:rFonts w:hint="eastAsia"/>
        </w:rPr>
        <w:t>表明气道堵塞。</w:t>
      </w:r>
    </w:p>
    <w:p w14:paraId="13DBDEB9">
      <w:pPr>
        <w:spacing w:line="276" w:lineRule="auto"/>
        <w:ind w:left="420"/>
        <w:jc w:val="center"/>
        <w:rPr>
          <w:b/>
          <w:spacing w:val="-9"/>
          <w:w w:val="95"/>
        </w:rPr>
      </w:pPr>
    </w:p>
    <w:p w14:paraId="0EA91F4E">
      <w:pPr>
        <w:spacing w:after="313" w:afterLines="100" w:line="276" w:lineRule="auto"/>
        <w:ind w:left="420"/>
        <w:jc w:val="center"/>
        <w:outlineLvl w:val="0"/>
        <w:rPr>
          <w:spacing w:val="-9"/>
          <w:w w:val="95"/>
          <w:szCs w:val="21"/>
        </w:rPr>
        <w:sectPr>
          <w:pgSz w:w="11905" w:h="16838"/>
          <w:pgMar w:top="1417" w:right="1417" w:bottom="1417" w:left="1417" w:header="850" w:footer="850" w:gutter="0"/>
          <w:cols w:space="0" w:num="1"/>
          <w:docGrid w:type="lines" w:linePitch="313" w:charSpace="0"/>
        </w:sectPr>
      </w:pPr>
    </w:p>
    <w:p w14:paraId="43230378">
      <w:pPr>
        <w:pStyle w:val="137"/>
        <w:spacing w:line="276" w:lineRule="auto"/>
        <w:ind w:left="420"/>
        <w:rPr>
          <w:rFonts w:ascii="Times New Roman"/>
        </w:rPr>
      </w:pPr>
      <w:bookmarkStart w:id="83" w:name="_Toc184293591"/>
      <w:r>
        <w:rPr>
          <w:rFonts w:ascii="Times New Roman"/>
        </w:rPr>
        <w:br w:type="textWrapping"/>
      </w:r>
      <w:bookmarkStart w:id="84" w:name="_Toc186818496"/>
      <w:r>
        <w:rPr>
          <w:rFonts w:hint="eastAsia" w:ascii="Times New Roman"/>
        </w:rPr>
        <w:t>（资料性）</w:t>
      </w:r>
      <w:r>
        <w:rPr>
          <w:rFonts w:ascii="Times New Roman"/>
        </w:rPr>
        <w:br w:type="textWrapping"/>
      </w:r>
      <w:r>
        <w:rPr>
          <w:rFonts w:hint="eastAsia" w:ascii="Times New Roman"/>
        </w:rPr>
        <w:t>影像学检查评价标准</w:t>
      </w:r>
      <w:bookmarkEnd w:id="83"/>
      <w:bookmarkEnd w:id="84"/>
    </w:p>
    <w:p w14:paraId="6BF62CBC">
      <w:pPr>
        <w:pStyle w:val="62"/>
        <w:numPr>
          <w:ilvl w:val="1"/>
          <w:numId w:val="0"/>
        </w:numPr>
        <w:spacing w:before="313" w:beforeLines="100" w:after="313" w:afterLines="100" w:line="276" w:lineRule="auto"/>
        <w:jc w:val="both"/>
        <w:rPr>
          <w:rFonts w:hAnsi="黑体" w:cs="黑体"/>
        </w:rPr>
      </w:pPr>
      <w:r>
        <w:rPr>
          <w:rFonts w:hint="eastAsia" w:hAnsi="黑体" w:cs="黑体"/>
        </w:rPr>
        <w:t>G.1  轻度（Ⅰ 级）</w:t>
      </w:r>
    </w:p>
    <w:p w14:paraId="471F9ED2">
      <w:pPr>
        <w:spacing w:line="276" w:lineRule="auto"/>
        <w:ind w:firstLine="420" w:firstLineChars="200"/>
      </w:pPr>
      <w:r>
        <w:t>肺部纹理稍增粗，有少量散在的淡薄阴影，阴影面积占肺野总面积的 10% 以下。例如，在小型哺乳动物（如大鼠）的胸部 X 射线影像上，可见肺部局部纹理稍紊乱，有少量类似磨砂玻璃样的淡薄阴影，主要分布在肺叶边缘。</w:t>
      </w:r>
    </w:p>
    <w:p w14:paraId="426A97E0">
      <w:pPr>
        <w:pStyle w:val="62"/>
        <w:numPr>
          <w:ilvl w:val="1"/>
          <w:numId w:val="0"/>
        </w:numPr>
        <w:spacing w:before="313" w:beforeLines="100" w:after="313" w:afterLines="100" w:line="276" w:lineRule="auto"/>
        <w:jc w:val="both"/>
        <w:rPr>
          <w:rFonts w:hAnsi="黑体" w:cs="黑体"/>
        </w:rPr>
      </w:pPr>
      <w:r>
        <w:rPr>
          <w:rFonts w:hint="eastAsia" w:hAnsi="黑体" w:cs="黑体"/>
        </w:rPr>
        <w:t>G.2  中度（Ⅱ 级）</w:t>
      </w:r>
    </w:p>
    <w:p w14:paraId="0730BF39">
      <w:pPr>
        <w:spacing w:line="276" w:lineRule="auto"/>
        <w:ind w:firstLine="420" w:firstLineChars="200"/>
      </w:pPr>
      <w:r>
        <w:t>肺部纹理增粗、增多，出现斑片状阴影，阴影面积占肺野总面积的 10% - 30%。在 CT 影像中，可看到肺部有多个小片状的实变影或磨玻璃影，主要分布在一个肺叶或两个相邻肺叶的部分区域。</w:t>
      </w:r>
    </w:p>
    <w:p w14:paraId="29CB9C73">
      <w:pPr>
        <w:pStyle w:val="62"/>
        <w:numPr>
          <w:ilvl w:val="1"/>
          <w:numId w:val="0"/>
        </w:numPr>
        <w:spacing w:before="313" w:beforeLines="100" w:after="313" w:afterLines="100" w:line="276" w:lineRule="auto"/>
        <w:jc w:val="both"/>
        <w:rPr>
          <w:rFonts w:hAnsi="黑体" w:cs="黑体"/>
        </w:rPr>
      </w:pPr>
      <w:r>
        <w:rPr>
          <w:rFonts w:hint="eastAsia" w:hAnsi="黑体" w:cs="黑体"/>
        </w:rPr>
        <w:t>G.3  重度（Ⅲ 级）</w:t>
      </w:r>
    </w:p>
    <w:p w14:paraId="4668CC97">
      <w:pPr>
        <w:spacing w:line="276" w:lineRule="auto"/>
        <w:ind w:firstLine="420" w:firstLineChars="200"/>
      </w:pPr>
      <w:r>
        <w:t>肺部出现大片状阴影，阴影面积占肺野总面积的 30% - 70%。实变影明显增加，可能累及多个肺叶，肺组织的正常结构部分模糊，支气管和血管纹理被遮挡。</w:t>
      </w:r>
    </w:p>
    <w:p w14:paraId="293C21C4">
      <w:pPr>
        <w:pStyle w:val="62"/>
        <w:numPr>
          <w:ilvl w:val="1"/>
          <w:numId w:val="0"/>
        </w:numPr>
        <w:spacing w:before="313" w:beforeLines="100" w:after="313" w:afterLines="100" w:line="276" w:lineRule="auto"/>
        <w:jc w:val="both"/>
        <w:rPr>
          <w:rFonts w:hAnsi="黑体" w:cs="黑体"/>
        </w:rPr>
      </w:pPr>
      <w:r>
        <w:rPr>
          <w:rFonts w:hint="eastAsia" w:hAnsi="黑体" w:cs="黑体"/>
        </w:rPr>
        <w:t>G.4  极重度（Ⅳ 级）</w:t>
      </w:r>
    </w:p>
    <w:p w14:paraId="710883CC">
      <w:pPr>
        <w:spacing w:line="276" w:lineRule="auto"/>
        <w:ind w:firstLine="420" w:firstLineChars="200"/>
      </w:pPr>
      <w:r>
        <w:t>肺部几乎全被阴影覆盖，阴影面积占肺野总面积的 70% 以上，呈 “白肺” 样改变。肺组织的正常结构难以辨认，支气管和血管纹理几乎完全消失。</w:t>
      </w:r>
    </w:p>
    <w:p w14:paraId="45BE015A">
      <w:pPr>
        <w:spacing w:line="276" w:lineRule="auto"/>
        <w:ind w:left="420" w:firstLine="364" w:firstLineChars="200"/>
        <w:jc w:val="center"/>
        <w:rPr>
          <w:b/>
          <w:spacing w:val="-9"/>
          <w:w w:val="95"/>
        </w:rPr>
        <w:sectPr>
          <w:pgSz w:w="11905" w:h="16838"/>
          <w:pgMar w:top="1417" w:right="1417" w:bottom="1417" w:left="1417" w:header="850" w:footer="850" w:gutter="0"/>
          <w:cols w:space="0" w:num="1"/>
          <w:docGrid w:type="lines" w:linePitch="313" w:charSpace="0"/>
        </w:sectPr>
      </w:pPr>
    </w:p>
    <w:p w14:paraId="756B7F48">
      <w:pPr>
        <w:pStyle w:val="137"/>
        <w:spacing w:line="276" w:lineRule="auto"/>
        <w:ind w:left="420"/>
        <w:rPr>
          <w:rFonts w:ascii="Times New Roman"/>
        </w:rPr>
      </w:pPr>
      <w:bookmarkStart w:id="85" w:name="_Toc181626931"/>
      <w:bookmarkStart w:id="86" w:name="_Toc184293592"/>
      <w:r>
        <w:rPr>
          <w:rFonts w:ascii="Times New Roman"/>
        </w:rPr>
        <w:br w:type="textWrapping"/>
      </w:r>
      <w:bookmarkStart w:id="87" w:name="_Toc186818497"/>
      <w:r>
        <w:rPr>
          <w:rFonts w:hint="eastAsia" w:ascii="Times New Roman"/>
        </w:rPr>
        <w:t>（规范性）</w:t>
      </w:r>
      <w:r>
        <w:rPr>
          <w:rFonts w:ascii="Times New Roman"/>
        </w:rPr>
        <w:br w:type="textWrapping"/>
      </w:r>
      <w:r>
        <w:rPr>
          <w:rFonts w:hint="eastAsia" w:ascii="Times New Roman"/>
        </w:rPr>
        <w:t>灭活</w:t>
      </w:r>
      <w:r>
        <w:rPr>
          <w:rFonts w:ascii="Times New Roman"/>
        </w:rPr>
        <w:t>感染</w:t>
      </w:r>
      <w:r>
        <w:rPr>
          <w:rFonts w:hint="eastAsia" w:ascii="Times New Roman"/>
        </w:rPr>
        <w:t>样本处理时风险防控措施</w:t>
      </w:r>
      <w:bookmarkEnd w:id="81"/>
      <w:bookmarkEnd w:id="85"/>
      <w:bookmarkEnd w:id="86"/>
      <w:bookmarkEnd w:id="87"/>
    </w:p>
    <w:p w14:paraId="3D2ACAA4">
      <w:pPr>
        <w:pStyle w:val="62"/>
        <w:numPr>
          <w:ilvl w:val="1"/>
          <w:numId w:val="0"/>
        </w:numPr>
        <w:spacing w:before="313" w:beforeLines="100" w:after="313" w:afterLines="100" w:line="276" w:lineRule="auto"/>
        <w:jc w:val="both"/>
        <w:rPr>
          <w:rFonts w:hAnsi="黑体" w:cs="黑体"/>
        </w:rPr>
      </w:pPr>
      <w:r>
        <w:rPr>
          <w:rFonts w:hint="eastAsia" w:hAnsi="黑体" w:cs="黑体"/>
        </w:rPr>
        <w:t xml:space="preserve">H.1  对活病原样本的操作 </w:t>
      </w:r>
    </w:p>
    <w:p w14:paraId="666DE750">
      <w:pPr>
        <w:pStyle w:val="10"/>
        <w:spacing w:line="276" w:lineRule="auto"/>
        <w:rPr>
          <w:rFonts w:ascii="Times New Roman" w:hAnsi="Times New Roman"/>
          <w:lang w:eastAsia="zh-CN"/>
        </w:rPr>
      </w:pPr>
      <w:r>
        <w:rPr>
          <w:rFonts w:hint="eastAsia" w:ascii="黑体" w:hAnsi="黑体" w:eastAsia="黑体" w:cs="黑体"/>
          <w:kern w:val="2"/>
          <w:szCs w:val="24"/>
          <w:lang w:eastAsia="zh-CN"/>
        </w:rPr>
        <w:t xml:space="preserve">H.1.1  </w:t>
      </w:r>
      <w:r>
        <w:rPr>
          <w:rFonts w:hint="eastAsia" w:ascii="Times New Roman" w:hAnsi="Times New Roman"/>
          <w:lang w:eastAsia="zh-CN"/>
        </w:rPr>
        <w:t>应在对应等级</w:t>
      </w:r>
      <w:r>
        <w:rPr>
          <w:rFonts w:ascii="Times New Roman" w:hAnsi="Times New Roman"/>
          <w:lang w:eastAsia="zh-CN"/>
        </w:rPr>
        <w:t>的</w:t>
      </w:r>
      <w:r>
        <w:rPr>
          <w:rFonts w:hint="eastAsia" w:ascii="Times New Roman" w:hAnsi="Times New Roman"/>
          <w:lang w:eastAsia="zh-CN"/>
        </w:rPr>
        <w:t xml:space="preserve">生物安全实验室的外排式生物安全柜内进行。 </w:t>
      </w:r>
    </w:p>
    <w:p w14:paraId="729C551E">
      <w:pPr>
        <w:pStyle w:val="10"/>
        <w:spacing w:line="276" w:lineRule="auto"/>
        <w:rPr>
          <w:rFonts w:ascii="Times New Roman" w:hAnsi="Times New Roman"/>
          <w:lang w:eastAsia="zh-CN"/>
        </w:rPr>
      </w:pPr>
      <w:r>
        <w:rPr>
          <w:rFonts w:hint="eastAsia" w:ascii="黑体" w:hAnsi="黑体" w:eastAsia="黑体" w:cs="黑体"/>
          <w:kern w:val="2"/>
          <w:szCs w:val="24"/>
          <w:lang w:eastAsia="zh-CN"/>
        </w:rPr>
        <w:t xml:space="preserve">H.1.2  </w:t>
      </w:r>
      <w:r>
        <w:rPr>
          <w:rFonts w:hint="eastAsia" w:ascii="Times New Roman" w:hAnsi="Times New Roman"/>
          <w:lang w:eastAsia="zh-CN"/>
        </w:rPr>
        <w:t xml:space="preserve">实验人员上岗前应接受严格的生物安全以及该病原实验技术的培训。 </w:t>
      </w:r>
    </w:p>
    <w:p w14:paraId="3C76F024">
      <w:pPr>
        <w:pStyle w:val="10"/>
        <w:spacing w:line="276" w:lineRule="auto"/>
        <w:rPr>
          <w:rFonts w:ascii="Times New Roman" w:hAnsi="Times New Roman"/>
          <w:lang w:eastAsia="zh-CN"/>
        </w:rPr>
      </w:pPr>
      <w:r>
        <w:rPr>
          <w:rFonts w:hint="eastAsia" w:ascii="黑体" w:hAnsi="黑体" w:eastAsia="黑体" w:cs="黑体"/>
          <w:kern w:val="2"/>
          <w:szCs w:val="24"/>
          <w:lang w:eastAsia="zh-CN"/>
        </w:rPr>
        <w:t xml:space="preserve">H.1.3  </w:t>
      </w:r>
      <w:r>
        <w:rPr>
          <w:rFonts w:hint="eastAsia" w:ascii="Times New Roman" w:hAnsi="Times New Roman"/>
          <w:lang w:eastAsia="zh-CN"/>
        </w:rPr>
        <w:t xml:space="preserve">实验人员应按对应等级生物安全实验室防护级别进行个人防护。 </w:t>
      </w:r>
    </w:p>
    <w:p w14:paraId="1D70D25B">
      <w:pPr>
        <w:pStyle w:val="10"/>
        <w:spacing w:line="276" w:lineRule="auto"/>
        <w:rPr>
          <w:rFonts w:ascii="Times New Roman" w:hAnsi="Times New Roman"/>
          <w:lang w:eastAsia="zh-CN"/>
        </w:rPr>
      </w:pPr>
      <w:r>
        <w:rPr>
          <w:rFonts w:hint="eastAsia" w:ascii="黑体" w:hAnsi="黑体" w:eastAsia="黑体" w:cs="黑体"/>
          <w:kern w:val="2"/>
          <w:szCs w:val="24"/>
          <w:lang w:eastAsia="zh-CN"/>
        </w:rPr>
        <w:t xml:space="preserve">H.1.4  </w:t>
      </w:r>
      <w:r>
        <w:rPr>
          <w:rFonts w:hint="eastAsia" w:ascii="Times New Roman" w:hAnsi="Times New Roman"/>
          <w:lang w:eastAsia="zh-CN"/>
        </w:rPr>
        <w:t>实验完毕后用针对病原</w:t>
      </w:r>
      <w:r>
        <w:rPr>
          <w:rFonts w:ascii="Times New Roman" w:hAnsi="Times New Roman"/>
          <w:lang w:eastAsia="zh-CN"/>
        </w:rPr>
        <w:t>有效的消毒剂，如</w:t>
      </w:r>
      <w:r>
        <w:rPr>
          <w:rFonts w:hint="eastAsia" w:ascii="Times New Roman" w:hAnsi="Times New Roman"/>
          <w:lang w:eastAsia="zh-CN"/>
        </w:rPr>
        <w:t xml:space="preserve">有效氯含量为 </w:t>
      </w:r>
      <w:r>
        <w:rPr>
          <w:rFonts w:ascii="Times New Roman" w:hAnsi="Times New Roman"/>
          <w:lang w:eastAsia="zh-CN"/>
        </w:rPr>
        <w:t>0.55%</w:t>
      </w:r>
      <w:r>
        <w:rPr>
          <w:rFonts w:hint="eastAsia" w:ascii="Times New Roman" w:hAnsi="Times New Roman"/>
          <w:lang w:eastAsia="zh-CN"/>
        </w:rPr>
        <w:t xml:space="preserve">的消毒液擦拭工作台面、生物安全柜内壁及台面，并擦拭实验器材表面移出生物安全柜。 </w:t>
      </w:r>
    </w:p>
    <w:p w14:paraId="07FE85F7">
      <w:pPr>
        <w:pStyle w:val="10"/>
        <w:spacing w:line="276" w:lineRule="auto"/>
        <w:rPr>
          <w:rFonts w:ascii="Times New Roman" w:hAnsi="Times New Roman"/>
          <w:lang w:eastAsia="zh-CN"/>
        </w:rPr>
      </w:pPr>
      <w:r>
        <w:rPr>
          <w:rFonts w:hint="eastAsia" w:ascii="黑体" w:hAnsi="黑体" w:eastAsia="黑体" w:cs="黑体"/>
          <w:kern w:val="2"/>
          <w:szCs w:val="24"/>
          <w:lang w:eastAsia="zh-CN"/>
        </w:rPr>
        <w:t xml:space="preserve">H.1.5  </w:t>
      </w:r>
      <w:r>
        <w:rPr>
          <w:rFonts w:hint="eastAsia" w:ascii="Times New Roman" w:hAnsi="Times New Roman"/>
          <w:lang w:eastAsia="zh-CN"/>
        </w:rPr>
        <w:t xml:space="preserve">废弃物需要经过 </w:t>
      </w:r>
      <w:r>
        <w:rPr>
          <w:rFonts w:ascii="Times New Roman" w:hAnsi="Times New Roman"/>
          <w:lang w:eastAsia="zh-CN"/>
        </w:rPr>
        <w:t>121</w:t>
      </w:r>
      <w:r>
        <w:rPr>
          <w:rFonts w:hint="eastAsia" w:ascii="Times New Roman" w:hAnsi="Times New Roman"/>
          <w:lang w:eastAsia="zh-CN"/>
        </w:rPr>
        <w:t xml:space="preserve">℃高压处理 </w:t>
      </w:r>
      <w:r>
        <w:rPr>
          <w:rFonts w:ascii="Times New Roman" w:hAnsi="Times New Roman"/>
          <w:lang w:eastAsia="zh-CN"/>
        </w:rPr>
        <w:t xml:space="preserve">30 min </w:t>
      </w:r>
      <w:r>
        <w:rPr>
          <w:rFonts w:hint="eastAsia" w:ascii="Times New Roman" w:hAnsi="Times New Roman"/>
          <w:lang w:eastAsia="zh-CN"/>
        </w:rPr>
        <w:t xml:space="preserve">后运出实验室。 </w:t>
      </w:r>
    </w:p>
    <w:p w14:paraId="63C1C21E">
      <w:pPr>
        <w:pStyle w:val="62"/>
        <w:numPr>
          <w:ilvl w:val="1"/>
          <w:numId w:val="0"/>
        </w:numPr>
        <w:spacing w:before="313" w:beforeLines="100" w:after="313" w:afterLines="100" w:line="276" w:lineRule="auto"/>
        <w:jc w:val="both"/>
        <w:rPr>
          <w:rFonts w:hAnsi="黑体" w:cs="黑体"/>
        </w:rPr>
      </w:pPr>
      <w:r>
        <w:rPr>
          <w:rFonts w:hint="eastAsia" w:hAnsi="黑体" w:cs="黑体"/>
        </w:rPr>
        <w:t xml:space="preserve">H.2  已经灭活的病原标本的操作 </w:t>
      </w:r>
    </w:p>
    <w:p w14:paraId="23F087EE">
      <w:pPr>
        <w:pStyle w:val="10"/>
        <w:spacing w:line="276" w:lineRule="auto"/>
        <w:rPr>
          <w:rFonts w:ascii="Times New Roman" w:hAnsi="Times New Roman"/>
          <w:lang w:eastAsia="zh-CN"/>
        </w:rPr>
      </w:pPr>
      <w:r>
        <w:rPr>
          <w:rFonts w:hint="eastAsia" w:ascii="黑体" w:hAnsi="黑体" w:eastAsia="黑体" w:cs="黑体"/>
          <w:kern w:val="2"/>
          <w:szCs w:val="24"/>
          <w:lang w:eastAsia="zh-CN"/>
        </w:rPr>
        <w:t xml:space="preserve">H.2.1  </w:t>
      </w:r>
      <w:r>
        <w:rPr>
          <w:rFonts w:hint="eastAsia" w:ascii="Times New Roman" w:hAnsi="Times New Roman"/>
          <w:lang w:eastAsia="zh-CN"/>
        </w:rPr>
        <w:t xml:space="preserve">可在 </w:t>
      </w:r>
      <w:r>
        <w:rPr>
          <w:rFonts w:ascii="Times New Roman" w:hAnsi="Times New Roman"/>
          <w:lang w:eastAsia="zh-CN"/>
        </w:rPr>
        <w:t xml:space="preserve">BSL-2 </w:t>
      </w:r>
      <w:r>
        <w:rPr>
          <w:rFonts w:hint="eastAsia" w:ascii="Times New Roman" w:hAnsi="Times New Roman"/>
          <w:lang w:eastAsia="zh-CN"/>
        </w:rPr>
        <w:t xml:space="preserve">级实验室进行操作。 </w:t>
      </w:r>
    </w:p>
    <w:p w14:paraId="31E8818A">
      <w:pPr>
        <w:pStyle w:val="10"/>
        <w:spacing w:line="276" w:lineRule="auto"/>
        <w:rPr>
          <w:rFonts w:ascii="Times New Roman" w:hAnsi="Times New Roman"/>
          <w:lang w:eastAsia="zh-CN"/>
        </w:rPr>
      </w:pPr>
      <w:r>
        <w:rPr>
          <w:rFonts w:hint="eastAsia" w:ascii="黑体" w:hAnsi="黑体" w:eastAsia="黑体" w:cs="黑体"/>
          <w:kern w:val="2"/>
          <w:szCs w:val="24"/>
          <w:lang w:eastAsia="zh-CN"/>
        </w:rPr>
        <w:t xml:space="preserve">H.2.2  </w:t>
      </w:r>
      <w:r>
        <w:rPr>
          <w:rFonts w:hint="eastAsia" w:ascii="Times New Roman" w:hAnsi="Times New Roman"/>
          <w:lang w:eastAsia="zh-CN"/>
        </w:rPr>
        <w:t xml:space="preserve">实验过程中产生的废液和使用过的耗材需要经过 </w:t>
      </w:r>
      <w:r>
        <w:rPr>
          <w:rFonts w:ascii="Times New Roman" w:hAnsi="Times New Roman"/>
          <w:lang w:eastAsia="zh-CN"/>
        </w:rPr>
        <w:t>121</w:t>
      </w:r>
      <w:r>
        <w:rPr>
          <w:rFonts w:hint="eastAsia" w:ascii="Times New Roman" w:hAnsi="Times New Roman"/>
          <w:lang w:eastAsia="zh-CN"/>
        </w:rPr>
        <w:t xml:space="preserve">℃高压处理 </w:t>
      </w:r>
      <w:r>
        <w:rPr>
          <w:rFonts w:ascii="Times New Roman" w:hAnsi="Times New Roman"/>
          <w:lang w:eastAsia="zh-CN"/>
        </w:rPr>
        <w:t xml:space="preserve">30 min </w:t>
      </w:r>
      <w:r>
        <w:rPr>
          <w:rFonts w:hint="eastAsia" w:ascii="Times New Roman" w:hAnsi="Times New Roman"/>
          <w:lang w:eastAsia="zh-CN"/>
        </w:rPr>
        <w:t xml:space="preserve">后运出实验室。 </w:t>
      </w:r>
    </w:p>
    <w:p w14:paraId="029C1DD4">
      <w:pPr>
        <w:pStyle w:val="62"/>
        <w:numPr>
          <w:ilvl w:val="1"/>
          <w:numId w:val="0"/>
        </w:numPr>
        <w:spacing w:before="313" w:beforeLines="100" w:after="313" w:afterLines="100" w:line="276" w:lineRule="auto"/>
        <w:jc w:val="both"/>
        <w:rPr>
          <w:rFonts w:hAnsi="黑体" w:cs="黑体"/>
        </w:rPr>
      </w:pPr>
      <w:r>
        <w:rPr>
          <w:rFonts w:hint="eastAsia" w:hAnsi="黑体" w:cs="黑体"/>
        </w:rPr>
        <w:t xml:space="preserve">H.3  标本处理数量 </w:t>
      </w:r>
    </w:p>
    <w:p w14:paraId="0EE918D9">
      <w:pPr>
        <w:pStyle w:val="10"/>
        <w:spacing w:line="276" w:lineRule="auto"/>
        <w:ind w:firstLine="420" w:firstLineChars="200"/>
        <w:rPr>
          <w:rFonts w:ascii="Times New Roman" w:hAnsi="Times New Roman"/>
          <w:sz w:val="22"/>
          <w:lang w:eastAsia="zh-CN"/>
        </w:rPr>
      </w:pPr>
      <w:r>
        <w:rPr>
          <w:rFonts w:hint="eastAsia" w:ascii="Times New Roman" w:hAnsi="Times New Roman"/>
          <w:lang w:eastAsia="zh-CN"/>
        </w:rPr>
        <w:t xml:space="preserve">每次操作的标本不应超过 </w:t>
      </w:r>
      <w:r>
        <w:rPr>
          <w:rFonts w:ascii="Times New Roman" w:hAnsi="Times New Roman"/>
          <w:lang w:eastAsia="zh-CN"/>
        </w:rPr>
        <w:t xml:space="preserve">20 </w:t>
      </w:r>
      <w:r>
        <w:rPr>
          <w:rFonts w:hint="eastAsia" w:ascii="Times New Roman" w:hAnsi="Times New Roman"/>
          <w:lang w:eastAsia="zh-CN"/>
        </w:rPr>
        <w:t>份，如处理经过扩增后的标本，病原的原始容积</w:t>
      </w:r>
      <w:r>
        <w:rPr>
          <w:rFonts w:ascii="Times New Roman" w:hAnsi="Times New Roman"/>
          <w:lang w:eastAsia="zh-CN"/>
        </w:rPr>
        <w:t xml:space="preserve">≤2.5mL/ </w:t>
      </w:r>
      <w:r>
        <w:rPr>
          <w:rFonts w:hint="eastAsia" w:ascii="Times New Roman" w:hAnsi="Times New Roman"/>
          <w:lang w:eastAsia="zh-CN"/>
        </w:rPr>
        <w:t xml:space="preserve">份时，每次操作的标本不能超过 </w:t>
      </w:r>
      <w:r>
        <w:rPr>
          <w:rFonts w:ascii="Times New Roman" w:hAnsi="Times New Roman"/>
          <w:lang w:eastAsia="zh-CN"/>
        </w:rPr>
        <w:t xml:space="preserve">10 </w:t>
      </w:r>
      <w:r>
        <w:rPr>
          <w:rFonts w:hint="eastAsia" w:ascii="Times New Roman" w:hAnsi="Times New Roman"/>
          <w:lang w:eastAsia="zh-CN"/>
        </w:rPr>
        <w:t>份，</w:t>
      </w:r>
      <w:r>
        <w:rPr>
          <w:rFonts w:ascii="Times New Roman" w:hAnsi="Times New Roman"/>
          <w:lang w:eastAsia="zh-CN"/>
        </w:rPr>
        <w:t>2.5mL-10.5mL/</w:t>
      </w:r>
      <w:r>
        <w:rPr>
          <w:rFonts w:hint="eastAsia" w:ascii="Times New Roman" w:hAnsi="Times New Roman"/>
          <w:lang w:eastAsia="zh-CN"/>
        </w:rPr>
        <w:t xml:space="preserve">份时，每次实验的标本不能超过 </w:t>
      </w:r>
      <w:r>
        <w:rPr>
          <w:rFonts w:ascii="Times New Roman" w:hAnsi="Times New Roman"/>
          <w:lang w:eastAsia="zh-CN"/>
        </w:rPr>
        <w:t>5</w:t>
      </w:r>
      <w:r>
        <w:rPr>
          <w:rFonts w:hint="eastAsia" w:ascii="Times New Roman" w:hAnsi="Times New Roman"/>
          <w:sz w:val="22"/>
          <w:lang w:eastAsia="zh-CN"/>
        </w:rPr>
        <w:t>份，＞</w:t>
      </w:r>
      <w:r>
        <w:rPr>
          <w:rFonts w:ascii="Times New Roman" w:hAnsi="Times New Roman"/>
          <w:sz w:val="22"/>
          <w:lang w:eastAsia="zh-CN"/>
        </w:rPr>
        <w:t>10.5mL/</w:t>
      </w:r>
      <w:r>
        <w:rPr>
          <w:rFonts w:hint="eastAsia" w:ascii="Times New Roman" w:hAnsi="Times New Roman"/>
          <w:sz w:val="22"/>
          <w:lang w:eastAsia="zh-CN"/>
        </w:rPr>
        <w:t xml:space="preserve">份时，每次操作标本不能超过 </w:t>
      </w:r>
      <w:r>
        <w:rPr>
          <w:rFonts w:ascii="Times New Roman" w:hAnsi="Times New Roman"/>
          <w:sz w:val="22"/>
          <w:lang w:eastAsia="zh-CN"/>
        </w:rPr>
        <w:t xml:space="preserve">3 </w:t>
      </w:r>
      <w:r>
        <w:rPr>
          <w:rFonts w:hint="eastAsia" w:ascii="Times New Roman" w:hAnsi="Times New Roman"/>
          <w:sz w:val="22"/>
          <w:lang w:eastAsia="zh-CN"/>
        </w:rPr>
        <w:t>份。</w:t>
      </w:r>
    </w:p>
    <w:p w14:paraId="120D365A">
      <w:pPr>
        <w:pStyle w:val="10"/>
        <w:spacing w:before="1" w:line="276" w:lineRule="auto"/>
        <w:ind w:left="420"/>
        <w:rPr>
          <w:rFonts w:ascii="Times New Roman" w:hAnsi="Times New Roman"/>
          <w:lang w:eastAsia="zh-CN"/>
        </w:rPr>
      </w:pPr>
    </w:p>
    <w:bookmarkEnd w:id="63"/>
    <w:bookmarkEnd w:id="64"/>
    <w:bookmarkEnd w:id="65"/>
    <w:bookmarkEnd w:id="66"/>
    <w:bookmarkEnd w:id="67"/>
    <w:bookmarkEnd w:id="68"/>
    <w:bookmarkEnd w:id="69"/>
    <w:bookmarkEnd w:id="70"/>
    <w:p w14:paraId="226DBDF2">
      <w:pPr>
        <w:pStyle w:val="24"/>
        <w:spacing w:line="276" w:lineRule="auto"/>
        <w:rPr>
          <w:rFonts w:ascii="Times New Roman"/>
        </w:rPr>
      </w:pPr>
    </w:p>
    <w:p w14:paraId="6DC40254">
      <w:pPr>
        <w:pStyle w:val="82"/>
        <w:framePr w:wrap="around"/>
        <w:spacing w:line="276" w:lineRule="auto"/>
        <w:ind w:left="420"/>
        <w:rPr>
          <w:rStyle w:val="40"/>
        </w:rPr>
      </w:pPr>
      <w:r>
        <w:t>_________________________________</w:t>
      </w:r>
    </w:p>
    <w:sectPr>
      <w:footerReference r:id="rId20" w:type="default"/>
      <w:footerReference r:id="rId21" w:type="even"/>
      <w:pgSz w:w="11905" w:h="16838"/>
      <w:pgMar w:top="1417" w:right="1417" w:bottom="1417" w:left="1417" w:header="850" w:footer="850" w:gutter="0"/>
      <w:cols w:space="0" w:num="1"/>
      <w:formProt w:val="0"/>
      <w:docGrid w:type="lines" w:linePitch="313"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6A080">
    <w:pPr>
      <w:pStyle w:val="18"/>
      <w:tabs>
        <w:tab w:val="center" w:pos="4153"/>
        <w:tab w:val="right" w:pos="8306"/>
      </w:tabs>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AC48BE">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9AC48BE">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995B9">
    <w:pPr>
      <w:pStyle w:val="18"/>
      <w:ind w:left="420"/>
    </w:pPr>
    <w:r>
      <mc:AlternateContent>
        <mc:Choice Requires="wps">
          <w:drawing>
            <wp:anchor distT="0" distB="0" distL="114300" distR="114300" simplePos="0" relativeHeight="251670528" behindDoc="0" locked="0" layoutInCell="1" allowOverlap="1">
              <wp:simplePos x="0" y="0"/>
              <wp:positionH relativeFrom="margin">
                <wp:align>left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F985B">
                          <w:pPr>
                            <w:pStyle w:val="1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367F985B">
                    <w:pPr>
                      <w:pStyle w:val="18"/>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E58FF">
    <w:pPr>
      <w:pStyle w:val="18"/>
      <w:ind w:left="420"/>
    </w:pPr>
    <w: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4E8C7A">
                          <w:pPr>
                            <w:pStyle w:val="18"/>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A4E8C7A">
                    <w:pPr>
                      <w:pStyle w:val="18"/>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EBD86">
    <w:pPr>
      <w:pStyle w:val="18"/>
      <w:ind w:left="420"/>
    </w:pPr>
    <w:r>
      <mc:AlternateContent>
        <mc:Choice Requires="wps">
          <w:drawing>
            <wp:anchor distT="0" distB="0" distL="114300" distR="114300" simplePos="0" relativeHeight="251666432" behindDoc="0" locked="0" layoutInCell="1" allowOverlap="1">
              <wp:simplePos x="0" y="0"/>
              <wp:positionH relativeFrom="margin">
                <wp:align>left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8FFB7">
                          <w:pPr>
                            <w:pStyle w:val="1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FF8FFB7">
                    <w:pPr>
                      <w:pStyle w:val="1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E6594">
    <w:pPr>
      <w:pStyle w:val="85"/>
      <w:rPr>
        <w:rFonts w:ascii="Times New Roman"/>
      </w:rPr>
    </w:pPr>
    <w:r>
      <mc:AlternateContent>
        <mc:Choice Requires="wps">
          <w:drawing>
            <wp:anchor distT="0" distB="0" distL="114300" distR="114300" simplePos="0" relativeHeight="251667456" behindDoc="0" locked="0" layoutInCell="1" allowOverlap="1">
              <wp:simplePos x="0" y="0"/>
              <wp:positionH relativeFrom="margin">
                <wp:align>left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ACB0C0">
                          <w:pPr>
                            <w:pStyle w:val="18"/>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23ACB0C0">
                    <w:pPr>
                      <w:pStyle w:val="18"/>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D064D">
    <w:pPr>
      <w:pStyle w:val="18"/>
      <w:tabs>
        <w:tab w:val="center" w:pos="4153"/>
        <w:tab w:val="right" w:pos="8306"/>
      </w:tabs>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3E41E9">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83E41E9">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B4F3C">
    <w:pPr>
      <w:pStyle w:val="18"/>
    </w:pPr>
    <w: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AAF5CF">
                          <w:pPr>
                            <w:pStyle w:val="1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10AAF5CF">
                    <w:pPr>
                      <w:pStyle w:val="1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C5DE7">
    <w:pPr>
      <w:pStyle w:val="18"/>
      <w:ind w:left="420"/>
      <w:jc w:val="center"/>
    </w:pPr>
    <w: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10E282">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D10E282">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94DA0">
    <w:pPr>
      <w:pStyle w:val="18"/>
      <w:ind w:left="420"/>
      <w:jc w:val="both"/>
    </w:pPr>
    <w: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F12D38">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0F12D38">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C1C6D">
    <w:pPr>
      <w:pStyle w:val="18"/>
      <w:ind w:left="420"/>
      <w:jc w:val="center"/>
    </w:pPr>
    <w:r>
      <mc:AlternateContent>
        <mc:Choice Requires="wps">
          <w:drawing>
            <wp:anchor distT="0" distB="0" distL="114300" distR="114300" simplePos="0" relativeHeight="251672576" behindDoc="0" locked="0" layoutInCell="1" allowOverlap="1">
              <wp:simplePos x="0" y="0"/>
              <wp:positionH relativeFrom="margin">
                <wp:align>left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05FED">
                          <w:pPr>
                            <w:pStyle w:val="1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77405FED">
                    <w:pPr>
                      <w:pStyle w:val="1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ECFB">
    <w:pPr>
      <w:pStyle w:val="18"/>
      <w:ind w:left="420"/>
      <w:jc w:val="both"/>
    </w:pPr>
    <w:r>
      <mc:AlternateContent>
        <mc:Choice Requires="wps">
          <w:drawing>
            <wp:anchor distT="0" distB="0" distL="114300" distR="114300" simplePos="0" relativeHeight="251671552" behindDoc="0" locked="0" layoutInCell="1" allowOverlap="1">
              <wp:simplePos x="0" y="0"/>
              <wp:positionH relativeFrom="margin">
                <wp:align>left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2E1FD1">
                          <w:pPr>
                            <w:pStyle w:val="1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192E1FD1">
                    <w:pPr>
                      <w:pStyle w:val="1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0BA47">
    <w:pPr>
      <w:pStyle w:val="18"/>
      <w:ind w:left="420"/>
    </w:pPr>
    <w: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3DCEE">
                          <w:pPr>
                            <w:pStyle w:val="1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313DCEE">
                    <w:pPr>
                      <w:pStyle w:val="1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CBB4D">
    <w:pPr>
      <w:pStyle w:val="18"/>
      <w:ind w:left="420"/>
    </w:pPr>
    <w: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BD87CE">
                          <w:pPr>
                            <w:pStyle w:val="18"/>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0BD87CE">
                    <w:pPr>
                      <w:pStyle w:val="18"/>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8C025">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83184">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7D51">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58BB7">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1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3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9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36"/>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8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81"/>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62"/>
      <w:suff w:val="nothing"/>
      <w:lvlText w:val="%1.%2　"/>
      <w:lvlJc w:val="left"/>
      <w:pPr>
        <w:ind w:left="426" w:firstLine="0"/>
      </w:pPr>
      <w:rPr>
        <w:rFonts w:hint="eastAsia" w:ascii="Times New Roman"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12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3800896"/>
    <w:multiLevelType w:val="multilevel"/>
    <w:tmpl w:val="23800896"/>
    <w:lvl w:ilvl="0" w:tentative="0">
      <w:start w:val="1"/>
      <w:numFmt w:val="lowerLetter"/>
      <w:pStyle w:val="13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6"/>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2A8F7113"/>
    <w:multiLevelType w:val="multilevel"/>
    <w:tmpl w:val="2A8F7113"/>
    <w:lvl w:ilvl="0" w:tentative="0">
      <w:start w:val="1"/>
      <w:numFmt w:val="upperLetter"/>
      <w:pStyle w:val="98"/>
      <w:suff w:val="space"/>
      <w:lvlText w:val="%1"/>
      <w:lvlJc w:val="left"/>
      <w:pPr>
        <w:ind w:left="623" w:hanging="425"/>
      </w:pPr>
      <w:rPr>
        <w:rFonts w:hint="eastAsia"/>
      </w:rPr>
    </w:lvl>
    <w:lvl w:ilvl="1" w:tentative="0">
      <w:start w:val="1"/>
      <w:numFmt w:val="decimal"/>
      <w:pStyle w:val="5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105"/>
      <w:suff w:val="nothing"/>
      <w:lvlText w:val="%1——"/>
      <w:lvlJc w:val="left"/>
      <w:pPr>
        <w:ind w:left="833" w:hanging="408"/>
      </w:pPr>
      <w:rPr>
        <w:rFonts w:hint="eastAsia"/>
      </w:rPr>
    </w:lvl>
    <w:lvl w:ilvl="1" w:tentative="0">
      <w:start w:val="1"/>
      <w:numFmt w:val="bullet"/>
      <w:pStyle w:val="123"/>
      <w:lvlText w:val=""/>
      <w:lvlJc w:val="left"/>
      <w:pPr>
        <w:tabs>
          <w:tab w:val="left" w:pos="760"/>
        </w:tabs>
        <w:ind w:left="1264" w:hanging="413"/>
      </w:pPr>
      <w:rPr>
        <w:rFonts w:hint="default" w:ascii="Symbol" w:hAnsi="Symbol"/>
        <w:color w:val="auto"/>
      </w:rPr>
    </w:lvl>
    <w:lvl w:ilvl="2" w:tentative="0">
      <w:start w:val="1"/>
      <w:numFmt w:val="bullet"/>
      <w:pStyle w:val="14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8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120"/>
      <w:lvlText w:val="%1"/>
      <w:lvlJc w:val="left"/>
      <w:pPr>
        <w:tabs>
          <w:tab w:val="left" w:pos="0"/>
        </w:tabs>
        <w:ind w:left="0" w:hanging="425"/>
      </w:pPr>
      <w:rPr>
        <w:rFonts w:hint="eastAsia"/>
      </w:rPr>
    </w:lvl>
    <w:lvl w:ilvl="1" w:tentative="0">
      <w:start w:val="1"/>
      <w:numFmt w:val="decimal"/>
      <w:pStyle w:val="5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1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137"/>
      <w:suff w:val="nothing"/>
      <w:lvlText w:val="附　录　%1"/>
      <w:lvlJc w:val="left"/>
      <w:pPr>
        <w:ind w:left="5246" w:firstLine="0"/>
      </w:pPr>
      <w:rPr>
        <w:rFonts w:hint="eastAsia" w:ascii="黑体" w:hAnsi="Times New Roman" w:eastAsia="黑体"/>
        <w:b w:val="0"/>
        <w:i w:val="0"/>
        <w:spacing w:val="0"/>
        <w:w w:val="100"/>
        <w:sz w:val="21"/>
      </w:rPr>
    </w:lvl>
    <w:lvl w:ilvl="1" w:tentative="0">
      <w:start w:val="1"/>
      <w:numFmt w:val="decimal"/>
      <w:pStyle w:val="6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24"/>
      <w:lvlText w:val="%1)"/>
      <w:lvlJc w:val="left"/>
      <w:pPr>
        <w:tabs>
          <w:tab w:val="left" w:pos="839"/>
        </w:tabs>
        <w:ind w:left="839" w:hanging="419"/>
      </w:pPr>
      <w:rPr>
        <w:rFonts w:hint="eastAsia" w:ascii="宋体" w:eastAsia="宋体"/>
        <w:b w:val="0"/>
        <w:i w:val="0"/>
        <w:sz w:val="21"/>
      </w:rPr>
    </w:lvl>
    <w:lvl w:ilvl="1" w:tentative="0">
      <w:start w:val="1"/>
      <w:numFmt w:val="decimal"/>
      <w:pStyle w:val="13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13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1"/>
  </w:num>
  <w:num w:numId="3">
    <w:abstractNumId w:val="13"/>
  </w:num>
  <w:num w:numId="4">
    <w:abstractNumId w:val="9"/>
  </w:num>
  <w:num w:numId="5">
    <w:abstractNumId w:val="6"/>
  </w:num>
  <w:num w:numId="6">
    <w:abstractNumId w:val="15"/>
  </w:num>
  <w:num w:numId="7">
    <w:abstractNumId w:val="12"/>
  </w:num>
  <w:num w:numId="8">
    <w:abstractNumId w:val="5"/>
  </w:num>
  <w:num w:numId="9">
    <w:abstractNumId w:val="3"/>
  </w:num>
  <w:num w:numId="10">
    <w:abstractNumId w:val="10"/>
  </w:num>
  <w:num w:numId="11">
    <w:abstractNumId w:val="8"/>
  </w:num>
  <w:num w:numId="12">
    <w:abstractNumId w:val="14"/>
  </w:num>
  <w:num w:numId="13">
    <w:abstractNumId w:val="0"/>
  </w:num>
  <w:num w:numId="14">
    <w:abstractNumId w:val="16"/>
  </w:num>
  <w:num w:numId="15">
    <w:abstractNumId w:val="7"/>
  </w:num>
  <w:num w:numId="16">
    <w:abstractNumId w:val="17"/>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210"/>
  <w:drawingGridVerticalSpacing w:val="157"/>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4ZmRiMmFlNWFmNjkzZmUzYWY2YmRiODQ5ZTA2YjYifQ=="/>
  </w:docVars>
  <w:rsids>
    <w:rsidRoot w:val="00035925"/>
    <w:rsid w:val="00000244"/>
    <w:rsid w:val="0000185F"/>
    <w:rsid w:val="000037D5"/>
    <w:rsid w:val="0000586F"/>
    <w:rsid w:val="00013D86"/>
    <w:rsid w:val="00013E02"/>
    <w:rsid w:val="000148E9"/>
    <w:rsid w:val="0002143C"/>
    <w:rsid w:val="00025A65"/>
    <w:rsid w:val="00026C31"/>
    <w:rsid w:val="00027280"/>
    <w:rsid w:val="000320A7"/>
    <w:rsid w:val="00035925"/>
    <w:rsid w:val="00067CDF"/>
    <w:rsid w:val="00074FBE"/>
    <w:rsid w:val="0008274D"/>
    <w:rsid w:val="00083A09"/>
    <w:rsid w:val="0009005E"/>
    <w:rsid w:val="00092857"/>
    <w:rsid w:val="000A20A9"/>
    <w:rsid w:val="000A48B1"/>
    <w:rsid w:val="000B3143"/>
    <w:rsid w:val="000C6B05"/>
    <w:rsid w:val="000C6DD6"/>
    <w:rsid w:val="000C73D2"/>
    <w:rsid w:val="000C73D4"/>
    <w:rsid w:val="000D2CF3"/>
    <w:rsid w:val="000D3D4C"/>
    <w:rsid w:val="000D4F51"/>
    <w:rsid w:val="000D718B"/>
    <w:rsid w:val="000E0C46"/>
    <w:rsid w:val="000E6AEA"/>
    <w:rsid w:val="000F030C"/>
    <w:rsid w:val="000F129C"/>
    <w:rsid w:val="001056DE"/>
    <w:rsid w:val="001124C0"/>
    <w:rsid w:val="00121FF8"/>
    <w:rsid w:val="0013175F"/>
    <w:rsid w:val="001512B4"/>
    <w:rsid w:val="00161A2D"/>
    <w:rsid w:val="001620A5"/>
    <w:rsid w:val="00164E53"/>
    <w:rsid w:val="0016699D"/>
    <w:rsid w:val="00166CBC"/>
    <w:rsid w:val="00175159"/>
    <w:rsid w:val="00176208"/>
    <w:rsid w:val="0018211B"/>
    <w:rsid w:val="001840D3"/>
    <w:rsid w:val="001900F8"/>
    <w:rsid w:val="00191258"/>
    <w:rsid w:val="00192680"/>
    <w:rsid w:val="00193037"/>
    <w:rsid w:val="00193A2C"/>
    <w:rsid w:val="00196CAC"/>
    <w:rsid w:val="001A288E"/>
    <w:rsid w:val="001B093A"/>
    <w:rsid w:val="001B6DC2"/>
    <w:rsid w:val="001C0987"/>
    <w:rsid w:val="001C149C"/>
    <w:rsid w:val="001C21AC"/>
    <w:rsid w:val="001C47BA"/>
    <w:rsid w:val="001C59EA"/>
    <w:rsid w:val="001D406C"/>
    <w:rsid w:val="001D41EE"/>
    <w:rsid w:val="001E0380"/>
    <w:rsid w:val="001E13B1"/>
    <w:rsid w:val="001F3A19"/>
    <w:rsid w:val="0021324E"/>
    <w:rsid w:val="00234467"/>
    <w:rsid w:val="00237D8D"/>
    <w:rsid w:val="00241DA2"/>
    <w:rsid w:val="00247FEE"/>
    <w:rsid w:val="00250E7D"/>
    <w:rsid w:val="002565D5"/>
    <w:rsid w:val="002622C0"/>
    <w:rsid w:val="002635E3"/>
    <w:rsid w:val="002778AE"/>
    <w:rsid w:val="0028269A"/>
    <w:rsid w:val="00283590"/>
    <w:rsid w:val="00286973"/>
    <w:rsid w:val="00287C3D"/>
    <w:rsid w:val="00294E70"/>
    <w:rsid w:val="002A1924"/>
    <w:rsid w:val="002A5085"/>
    <w:rsid w:val="002A7420"/>
    <w:rsid w:val="002B0F12"/>
    <w:rsid w:val="002B1308"/>
    <w:rsid w:val="002B356C"/>
    <w:rsid w:val="002B4554"/>
    <w:rsid w:val="002C36F2"/>
    <w:rsid w:val="002C5124"/>
    <w:rsid w:val="002C72D8"/>
    <w:rsid w:val="002D11FA"/>
    <w:rsid w:val="002D66F0"/>
    <w:rsid w:val="002E0DDF"/>
    <w:rsid w:val="002E2906"/>
    <w:rsid w:val="002E363B"/>
    <w:rsid w:val="002E5635"/>
    <w:rsid w:val="002E64C3"/>
    <w:rsid w:val="002E6A2C"/>
    <w:rsid w:val="002F1D8C"/>
    <w:rsid w:val="002F21DA"/>
    <w:rsid w:val="002F6F4C"/>
    <w:rsid w:val="00301F39"/>
    <w:rsid w:val="00325926"/>
    <w:rsid w:val="00327A8A"/>
    <w:rsid w:val="00336610"/>
    <w:rsid w:val="00343F73"/>
    <w:rsid w:val="00345060"/>
    <w:rsid w:val="0035323B"/>
    <w:rsid w:val="003609D2"/>
    <w:rsid w:val="00363F22"/>
    <w:rsid w:val="00375564"/>
    <w:rsid w:val="00383191"/>
    <w:rsid w:val="0038590F"/>
    <w:rsid w:val="00386DED"/>
    <w:rsid w:val="003912E7"/>
    <w:rsid w:val="00393947"/>
    <w:rsid w:val="003A2275"/>
    <w:rsid w:val="003A4DCC"/>
    <w:rsid w:val="003A6A4F"/>
    <w:rsid w:val="003A701E"/>
    <w:rsid w:val="003A7088"/>
    <w:rsid w:val="003A7EB6"/>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50C"/>
    <w:rsid w:val="00453F9A"/>
    <w:rsid w:val="00471E91"/>
    <w:rsid w:val="00474675"/>
    <w:rsid w:val="0047470C"/>
    <w:rsid w:val="00496974"/>
    <w:rsid w:val="004A35F9"/>
    <w:rsid w:val="004B07F3"/>
    <w:rsid w:val="004B24C1"/>
    <w:rsid w:val="004C184A"/>
    <w:rsid w:val="004C292F"/>
    <w:rsid w:val="004D4B39"/>
    <w:rsid w:val="00510280"/>
    <w:rsid w:val="00513D73"/>
    <w:rsid w:val="00514A43"/>
    <w:rsid w:val="005174E5"/>
    <w:rsid w:val="0052093F"/>
    <w:rsid w:val="00522393"/>
    <w:rsid w:val="00522620"/>
    <w:rsid w:val="00525656"/>
    <w:rsid w:val="00534C02"/>
    <w:rsid w:val="0054264B"/>
    <w:rsid w:val="00543786"/>
    <w:rsid w:val="005533D7"/>
    <w:rsid w:val="005703DE"/>
    <w:rsid w:val="0058464E"/>
    <w:rsid w:val="00593B48"/>
    <w:rsid w:val="005A01CB"/>
    <w:rsid w:val="005A58FF"/>
    <w:rsid w:val="005A5EAF"/>
    <w:rsid w:val="005A64C0"/>
    <w:rsid w:val="005B253A"/>
    <w:rsid w:val="005B2F91"/>
    <w:rsid w:val="005B3C11"/>
    <w:rsid w:val="005C1C28"/>
    <w:rsid w:val="005C6DB5"/>
    <w:rsid w:val="005E1263"/>
    <w:rsid w:val="005E19E7"/>
    <w:rsid w:val="005F0D35"/>
    <w:rsid w:val="00606D06"/>
    <w:rsid w:val="0061716C"/>
    <w:rsid w:val="006243A1"/>
    <w:rsid w:val="0062604E"/>
    <w:rsid w:val="00631E02"/>
    <w:rsid w:val="00632E56"/>
    <w:rsid w:val="00635CBA"/>
    <w:rsid w:val="0064338B"/>
    <w:rsid w:val="00646542"/>
    <w:rsid w:val="006504F4"/>
    <w:rsid w:val="0065352A"/>
    <w:rsid w:val="006541E9"/>
    <w:rsid w:val="00654BC9"/>
    <w:rsid w:val="006552FD"/>
    <w:rsid w:val="0066399B"/>
    <w:rsid w:val="00663AF3"/>
    <w:rsid w:val="00666B6C"/>
    <w:rsid w:val="00674960"/>
    <w:rsid w:val="00682682"/>
    <w:rsid w:val="00682702"/>
    <w:rsid w:val="00682CAE"/>
    <w:rsid w:val="00685A6D"/>
    <w:rsid w:val="00692368"/>
    <w:rsid w:val="006A2EBC"/>
    <w:rsid w:val="006A5EA0"/>
    <w:rsid w:val="006A783B"/>
    <w:rsid w:val="006A7B33"/>
    <w:rsid w:val="006A7BB6"/>
    <w:rsid w:val="006B4E13"/>
    <w:rsid w:val="006B75DD"/>
    <w:rsid w:val="006C67E0"/>
    <w:rsid w:val="006C699A"/>
    <w:rsid w:val="006C7ABA"/>
    <w:rsid w:val="006D0D60"/>
    <w:rsid w:val="006D1122"/>
    <w:rsid w:val="006D3C00"/>
    <w:rsid w:val="006D6CF4"/>
    <w:rsid w:val="006E3675"/>
    <w:rsid w:val="006E4A7F"/>
    <w:rsid w:val="007019B8"/>
    <w:rsid w:val="007048ED"/>
    <w:rsid w:val="00704DF6"/>
    <w:rsid w:val="0070651C"/>
    <w:rsid w:val="00711A4E"/>
    <w:rsid w:val="007132A3"/>
    <w:rsid w:val="00716421"/>
    <w:rsid w:val="007238E7"/>
    <w:rsid w:val="00724EFB"/>
    <w:rsid w:val="007419C3"/>
    <w:rsid w:val="00741C56"/>
    <w:rsid w:val="00744F22"/>
    <w:rsid w:val="007467A7"/>
    <w:rsid w:val="007469DD"/>
    <w:rsid w:val="0074741B"/>
    <w:rsid w:val="0074759E"/>
    <w:rsid w:val="007478EA"/>
    <w:rsid w:val="0075415C"/>
    <w:rsid w:val="00763502"/>
    <w:rsid w:val="007913AB"/>
    <w:rsid w:val="007914F7"/>
    <w:rsid w:val="00796B7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21F"/>
    <w:rsid w:val="0080654C"/>
    <w:rsid w:val="008071C6"/>
    <w:rsid w:val="0081072C"/>
    <w:rsid w:val="00812BC3"/>
    <w:rsid w:val="00817A00"/>
    <w:rsid w:val="00835DB3"/>
    <w:rsid w:val="0083617B"/>
    <w:rsid w:val="008371BD"/>
    <w:rsid w:val="008504A8"/>
    <w:rsid w:val="0085282E"/>
    <w:rsid w:val="0087198C"/>
    <w:rsid w:val="00872C1F"/>
    <w:rsid w:val="00873B42"/>
    <w:rsid w:val="008856D8"/>
    <w:rsid w:val="00892E82"/>
    <w:rsid w:val="008B0156"/>
    <w:rsid w:val="008B6B14"/>
    <w:rsid w:val="008C039B"/>
    <w:rsid w:val="008C1B58"/>
    <w:rsid w:val="008C39AE"/>
    <w:rsid w:val="008C590D"/>
    <w:rsid w:val="008E031B"/>
    <w:rsid w:val="008E7029"/>
    <w:rsid w:val="008E7EF6"/>
    <w:rsid w:val="008F1F98"/>
    <w:rsid w:val="008F2938"/>
    <w:rsid w:val="008F6758"/>
    <w:rsid w:val="009040DD"/>
    <w:rsid w:val="00905B47"/>
    <w:rsid w:val="0091331C"/>
    <w:rsid w:val="00921C9F"/>
    <w:rsid w:val="009279DE"/>
    <w:rsid w:val="00930116"/>
    <w:rsid w:val="0094212C"/>
    <w:rsid w:val="0095006C"/>
    <w:rsid w:val="00954689"/>
    <w:rsid w:val="009617C9"/>
    <w:rsid w:val="00961C93"/>
    <w:rsid w:val="00965324"/>
    <w:rsid w:val="0097091E"/>
    <w:rsid w:val="00971D15"/>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0907"/>
    <w:rsid w:val="009E0A2F"/>
    <w:rsid w:val="009E1415"/>
    <w:rsid w:val="009E6116"/>
    <w:rsid w:val="00A02E43"/>
    <w:rsid w:val="00A065F9"/>
    <w:rsid w:val="00A07F34"/>
    <w:rsid w:val="00A22154"/>
    <w:rsid w:val="00A25C38"/>
    <w:rsid w:val="00A36BBE"/>
    <w:rsid w:val="00A4307A"/>
    <w:rsid w:val="00A474A7"/>
    <w:rsid w:val="00A47EBB"/>
    <w:rsid w:val="00A51CDD"/>
    <w:rsid w:val="00A6730D"/>
    <w:rsid w:val="00A71625"/>
    <w:rsid w:val="00A71B9B"/>
    <w:rsid w:val="00A751C7"/>
    <w:rsid w:val="00A87844"/>
    <w:rsid w:val="00AA038C"/>
    <w:rsid w:val="00AA7A09"/>
    <w:rsid w:val="00AB3B50"/>
    <w:rsid w:val="00AC05B1"/>
    <w:rsid w:val="00AD356C"/>
    <w:rsid w:val="00AE2914"/>
    <w:rsid w:val="00AE6D15"/>
    <w:rsid w:val="00AE789C"/>
    <w:rsid w:val="00AF4CDA"/>
    <w:rsid w:val="00B04182"/>
    <w:rsid w:val="00B07AE3"/>
    <w:rsid w:val="00B11430"/>
    <w:rsid w:val="00B2165E"/>
    <w:rsid w:val="00B2318C"/>
    <w:rsid w:val="00B353EB"/>
    <w:rsid w:val="00B439C4"/>
    <w:rsid w:val="00B44286"/>
    <w:rsid w:val="00B44B91"/>
    <w:rsid w:val="00B4535E"/>
    <w:rsid w:val="00B52516"/>
    <w:rsid w:val="00B52A8C"/>
    <w:rsid w:val="00B636A8"/>
    <w:rsid w:val="00B665C6"/>
    <w:rsid w:val="00B805AF"/>
    <w:rsid w:val="00B82C50"/>
    <w:rsid w:val="00B869EC"/>
    <w:rsid w:val="00B9397A"/>
    <w:rsid w:val="00B9633D"/>
    <w:rsid w:val="00BA0B75"/>
    <w:rsid w:val="00BA2EBE"/>
    <w:rsid w:val="00BB0F28"/>
    <w:rsid w:val="00BB29D5"/>
    <w:rsid w:val="00BB458A"/>
    <w:rsid w:val="00BB4E28"/>
    <w:rsid w:val="00BD00D3"/>
    <w:rsid w:val="00BD1659"/>
    <w:rsid w:val="00BD1DA6"/>
    <w:rsid w:val="00BD3AA9"/>
    <w:rsid w:val="00BD4A18"/>
    <w:rsid w:val="00BD6D38"/>
    <w:rsid w:val="00BD6DB2"/>
    <w:rsid w:val="00BE11CF"/>
    <w:rsid w:val="00BE21AB"/>
    <w:rsid w:val="00BE55CB"/>
    <w:rsid w:val="00BF617A"/>
    <w:rsid w:val="00BF6FCE"/>
    <w:rsid w:val="00C0379D"/>
    <w:rsid w:val="00C03931"/>
    <w:rsid w:val="00C05FE3"/>
    <w:rsid w:val="00C2136D"/>
    <w:rsid w:val="00C214EE"/>
    <w:rsid w:val="00C2314B"/>
    <w:rsid w:val="00C24971"/>
    <w:rsid w:val="00C26BE5"/>
    <w:rsid w:val="00C26E4D"/>
    <w:rsid w:val="00C27909"/>
    <w:rsid w:val="00C27B03"/>
    <w:rsid w:val="00C314E1"/>
    <w:rsid w:val="00C34397"/>
    <w:rsid w:val="00C3788B"/>
    <w:rsid w:val="00C4095D"/>
    <w:rsid w:val="00C601D2"/>
    <w:rsid w:val="00C65BCC"/>
    <w:rsid w:val="00C66970"/>
    <w:rsid w:val="00C67F41"/>
    <w:rsid w:val="00C8691C"/>
    <w:rsid w:val="00CA168A"/>
    <w:rsid w:val="00CA1714"/>
    <w:rsid w:val="00CA357E"/>
    <w:rsid w:val="00CA44F9"/>
    <w:rsid w:val="00CA4A69"/>
    <w:rsid w:val="00CC3E0C"/>
    <w:rsid w:val="00CC58D3"/>
    <w:rsid w:val="00CC784D"/>
    <w:rsid w:val="00D0337B"/>
    <w:rsid w:val="00D07597"/>
    <w:rsid w:val="00D079B2"/>
    <w:rsid w:val="00D114E9"/>
    <w:rsid w:val="00D429C6"/>
    <w:rsid w:val="00D47748"/>
    <w:rsid w:val="00D54CC3"/>
    <w:rsid w:val="00D6041A"/>
    <w:rsid w:val="00D633EB"/>
    <w:rsid w:val="00D66A10"/>
    <w:rsid w:val="00D82FF7"/>
    <w:rsid w:val="00D847FE"/>
    <w:rsid w:val="00D964EA"/>
    <w:rsid w:val="00D966D0"/>
    <w:rsid w:val="00DA0C59"/>
    <w:rsid w:val="00DA3991"/>
    <w:rsid w:val="00DB0990"/>
    <w:rsid w:val="00DB7E6C"/>
    <w:rsid w:val="00DD481B"/>
    <w:rsid w:val="00DD5A29"/>
    <w:rsid w:val="00DD5D9D"/>
    <w:rsid w:val="00DE35CB"/>
    <w:rsid w:val="00DF21E9"/>
    <w:rsid w:val="00E00F14"/>
    <w:rsid w:val="00E06386"/>
    <w:rsid w:val="00E24EB4"/>
    <w:rsid w:val="00E320ED"/>
    <w:rsid w:val="00E33AFB"/>
    <w:rsid w:val="00E34218"/>
    <w:rsid w:val="00E46282"/>
    <w:rsid w:val="00E5216E"/>
    <w:rsid w:val="00E54B7B"/>
    <w:rsid w:val="00E82344"/>
    <w:rsid w:val="00E84C82"/>
    <w:rsid w:val="00E84D64"/>
    <w:rsid w:val="00E86363"/>
    <w:rsid w:val="00E87408"/>
    <w:rsid w:val="00E914C4"/>
    <w:rsid w:val="00E934F5"/>
    <w:rsid w:val="00E96961"/>
    <w:rsid w:val="00EA27DA"/>
    <w:rsid w:val="00EA4578"/>
    <w:rsid w:val="00EA6237"/>
    <w:rsid w:val="00EA72EC"/>
    <w:rsid w:val="00EB11CB"/>
    <w:rsid w:val="00EB275A"/>
    <w:rsid w:val="00EB786A"/>
    <w:rsid w:val="00EC1578"/>
    <w:rsid w:val="00EC1C72"/>
    <w:rsid w:val="00EC3C34"/>
    <w:rsid w:val="00EC3CC9"/>
    <w:rsid w:val="00EC680A"/>
    <w:rsid w:val="00ED37DF"/>
    <w:rsid w:val="00EE0655"/>
    <w:rsid w:val="00EE2BED"/>
    <w:rsid w:val="00EE374B"/>
    <w:rsid w:val="00EF5A46"/>
    <w:rsid w:val="00F11BB5"/>
    <w:rsid w:val="00F1417B"/>
    <w:rsid w:val="00F34B99"/>
    <w:rsid w:val="00F52DAB"/>
    <w:rsid w:val="00F543F0"/>
    <w:rsid w:val="00F577B7"/>
    <w:rsid w:val="00F81D29"/>
    <w:rsid w:val="00F91C4D"/>
    <w:rsid w:val="00F92FD9"/>
    <w:rsid w:val="00F9357C"/>
    <w:rsid w:val="00FA0A2D"/>
    <w:rsid w:val="00FA0D94"/>
    <w:rsid w:val="00FA2B04"/>
    <w:rsid w:val="00FA6684"/>
    <w:rsid w:val="00FA731E"/>
    <w:rsid w:val="00FB2B38"/>
    <w:rsid w:val="00FB46FF"/>
    <w:rsid w:val="00FC6358"/>
    <w:rsid w:val="00FC64BB"/>
    <w:rsid w:val="00FD01CF"/>
    <w:rsid w:val="00FD320D"/>
    <w:rsid w:val="00FE23DE"/>
    <w:rsid w:val="01A56261"/>
    <w:rsid w:val="060A1CFE"/>
    <w:rsid w:val="0A5C1AFB"/>
    <w:rsid w:val="11FC7091"/>
    <w:rsid w:val="31DE1ECC"/>
    <w:rsid w:val="333323EC"/>
    <w:rsid w:val="3A155D2B"/>
    <w:rsid w:val="3B29325F"/>
    <w:rsid w:val="417203CA"/>
    <w:rsid w:val="478E16F5"/>
    <w:rsid w:val="5F495C55"/>
    <w:rsid w:val="62154E69"/>
    <w:rsid w:val="644E6307"/>
    <w:rsid w:val="677C7DB6"/>
    <w:rsid w:val="6CB869DC"/>
    <w:rsid w:val="6E094A7A"/>
    <w:rsid w:val="76A04DE9"/>
    <w:rsid w:val="76B2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3"/>
    <w:qFormat/>
    <w:uiPriority w:val="0"/>
    <w:pPr>
      <w:keepNext/>
      <w:keepLines/>
      <w:spacing w:before="340" w:after="330" w:line="578" w:lineRule="auto"/>
      <w:outlineLvl w:val="0"/>
    </w:pPr>
    <w:rPr>
      <w:b/>
      <w:bCs/>
      <w:kern w:val="44"/>
      <w:sz w:val="44"/>
      <w:szCs w:val="44"/>
    </w:rPr>
  </w:style>
  <w:style w:type="character" w:default="1" w:styleId="35">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3">
    <w:name w:val="toc 7"/>
    <w:basedOn w:val="1"/>
    <w:next w:val="1"/>
    <w:semiHidden/>
    <w:uiPriority w:val="0"/>
    <w:pPr>
      <w:tabs>
        <w:tab w:val="right" w:leader="dot" w:pos="9242"/>
      </w:tabs>
      <w:ind w:firstLine="105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link w:val="42"/>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Body Text"/>
    <w:basedOn w:val="1"/>
    <w:link w:val="142"/>
    <w:qFormat/>
    <w:uiPriority w:val="1"/>
    <w:pPr>
      <w:autoSpaceDE w:val="0"/>
      <w:autoSpaceDN w:val="0"/>
      <w:jc w:val="left"/>
    </w:pPr>
    <w:rPr>
      <w:rFonts w:ascii="宋体" w:hAnsi="宋体" w:cs="宋体"/>
      <w:kern w:val="0"/>
      <w:szCs w:val="21"/>
      <w:lang w:eastAsia="en-US"/>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2"/>
      </w:tabs>
      <w:ind w:firstLine="630" w:firstLineChars="300"/>
      <w:jc w:val="left"/>
    </w:pPr>
    <w:rPr>
      <w:rFonts w:ascii="宋体"/>
      <w:szCs w:val="21"/>
    </w:rPr>
  </w:style>
  <w:style w:type="paragraph" w:styleId="13">
    <w:name w:val="toc 3"/>
    <w:basedOn w:val="1"/>
    <w:next w:val="1"/>
    <w:qFormat/>
    <w:uiPriority w:val="39"/>
    <w:pPr>
      <w:tabs>
        <w:tab w:val="right" w:leader="dot" w:pos="9242"/>
      </w:tabs>
      <w:ind w:firstLine="210" w:firstLineChars="100"/>
      <w:jc w:val="left"/>
    </w:pPr>
    <w:rPr>
      <w:rFonts w:ascii="宋体"/>
      <w:szCs w:val="21"/>
    </w:rPr>
  </w:style>
  <w:style w:type="paragraph" w:styleId="14">
    <w:name w:val="toc 8"/>
    <w:basedOn w:val="1"/>
    <w:next w:val="1"/>
    <w:semiHidden/>
    <w:qFormat/>
    <w:uiPriority w:val="0"/>
    <w:pPr>
      <w:tabs>
        <w:tab w:val="right" w:leader="dot" w:pos="9242"/>
      </w:tabs>
      <w:ind w:firstLine="1260"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43"/>
    <w:qFormat/>
    <w:uiPriority w:val="0"/>
    <w:rPr>
      <w:sz w:val="18"/>
      <w:szCs w:val="18"/>
    </w:rPr>
  </w:style>
  <w:style w:type="paragraph" w:styleId="18">
    <w:name w:val="footer"/>
    <w:basedOn w:val="1"/>
    <w:link w:val="44"/>
    <w:qFormat/>
    <w:uiPriority w:val="99"/>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qFormat/>
    <w:uiPriority w:val="39"/>
    <w:pPr>
      <w:tabs>
        <w:tab w:val="right" w:leader="dot" w:pos="9242"/>
      </w:tabs>
      <w:spacing w:before="79" w:beforeLines="25" w:after="79" w:afterLines="25"/>
      <w:jc w:val="left"/>
    </w:pPr>
    <w:rPr>
      <w:rFonts w:ascii="宋体"/>
      <w:szCs w:val="21"/>
    </w:rPr>
  </w:style>
  <w:style w:type="paragraph" w:styleId="21">
    <w:name w:val="toc 4"/>
    <w:basedOn w:val="1"/>
    <w:next w:val="1"/>
    <w:semiHidden/>
    <w:qFormat/>
    <w:uiPriority w:val="0"/>
    <w:pPr>
      <w:tabs>
        <w:tab w:val="right" w:leader="dot" w:pos="9242"/>
      </w:tabs>
      <w:ind w:firstLine="42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2"/>
      </w:tabs>
      <w:ind w:firstLine="840" w:firstLineChars="400"/>
      <w:jc w:val="left"/>
    </w:pPr>
    <w:rPr>
      <w:rFonts w:ascii="宋体"/>
      <w:szCs w:val="21"/>
    </w:rPr>
  </w:style>
  <w:style w:type="paragraph" w:styleId="27">
    <w:name w:val="index 7"/>
    <w:basedOn w:val="1"/>
    <w:next w:val="1"/>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qFormat/>
    <w:uiPriority w:val="39"/>
    <w:pPr>
      <w:tabs>
        <w:tab w:val="right" w:leader="dot" w:pos="9242"/>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index 2"/>
    <w:basedOn w:val="1"/>
    <w:next w:val="1"/>
    <w:qFormat/>
    <w:uiPriority w:val="0"/>
    <w:pPr>
      <w:ind w:left="420" w:hanging="210"/>
      <w:jc w:val="left"/>
    </w:pPr>
    <w:rPr>
      <w:rFonts w:ascii="Calibri" w:hAnsi="Calibri"/>
      <w:sz w:val="20"/>
      <w:szCs w:val="20"/>
    </w:rPr>
  </w:style>
  <w:style w:type="paragraph" w:styleId="32">
    <w:name w:val="annotation subject"/>
    <w:basedOn w:val="8"/>
    <w:next w:val="8"/>
    <w:link w:val="46"/>
    <w:qFormat/>
    <w:uiPriority w:val="0"/>
    <w:rPr>
      <w:b/>
      <w:bCs/>
    </w:rPr>
  </w:style>
  <w:style w:type="table" w:styleId="34">
    <w:name w:val="Table Grid"/>
    <w:basedOn w:val="33"/>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Hyperlink"/>
    <w:qFormat/>
    <w:uiPriority w:val="99"/>
    <w:rPr>
      <w:color w:val="0000FF"/>
      <w:spacing w:val="0"/>
      <w:w w:val="100"/>
      <w:szCs w:val="21"/>
      <w:u w:val="single"/>
      <w:lang w:val="en-US" w:eastAsia="zh-CN"/>
    </w:rPr>
  </w:style>
  <w:style w:type="character" w:styleId="40">
    <w:name w:val="annotation reference"/>
    <w:qFormat/>
    <w:uiPriority w:val="0"/>
    <w:rPr>
      <w:sz w:val="21"/>
      <w:szCs w:val="21"/>
    </w:rPr>
  </w:style>
  <w:style w:type="character" w:styleId="41">
    <w:name w:val="footnote reference"/>
    <w:semiHidden/>
    <w:qFormat/>
    <w:uiPriority w:val="0"/>
    <w:rPr>
      <w:vertAlign w:val="superscript"/>
    </w:rPr>
  </w:style>
  <w:style w:type="character" w:customStyle="1" w:styleId="42">
    <w:name w:val="批注文字 Char"/>
    <w:link w:val="8"/>
    <w:qFormat/>
    <w:uiPriority w:val="0"/>
    <w:rPr>
      <w:kern w:val="2"/>
      <w:sz w:val="21"/>
      <w:szCs w:val="24"/>
    </w:rPr>
  </w:style>
  <w:style w:type="character" w:customStyle="1" w:styleId="43">
    <w:name w:val="批注框文本 Char"/>
    <w:link w:val="17"/>
    <w:qFormat/>
    <w:uiPriority w:val="0"/>
    <w:rPr>
      <w:kern w:val="2"/>
      <w:sz w:val="18"/>
      <w:szCs w:val="18"/>
    </w:rPr>
  </w:style>
  <w:style w:type="character" w:customStyle="1" w:styleId="44">
    <w:name w:val="页脚 Char"/>
    <w:link w:val="18"/>
    <w:qFormat/>
    <w:uiPriority w:val="99"/>
    <w:rPr>
      <w:kern w:val="2"/>
      <w:sz w:val="18"/>
      <w:szCs w:val="18"/>
    </w:rPr>
  </w:style>
  <w:style w:type="character" w:customStyle="1" w:styleId="45">
    <w:name w:val="段 Char"/>
    <w:link w:val="24"/>
    <w:qFormat/>
    <w:uiPriority w:val="0"/>
    <w:rPr>
      <w:rFonts w:ascii="宋体"/>
      <w:sz w:val="21"/>
      <w:lang w:val="en-US" w:eastAsia="zh-CN" w:bidi="ar-SA"/>
    </w:rPr>
  </w:style>
  <w:style w:type="character" w:customStyle="1" w:styleId="46">
    <w:name w:val="批注主题 Char"/>
    <w:link w:val="32"/>
    <w:qFormat/>
    <w:uiPriority w:val="0"/>
    <w:rPr>
      <w:b/>
      <w:bCs/>
      <w:kern w:val="2"/>
      <w:sz w:val="21"/>
      <w:szCs w:val="24"/>
    </w:rPr>
  </w:style>
  <w:style w:type="character" w:customStyle="1" w:styleId="47">
    <w:name w:val="首示例 Char"/>
    <w:link w:val="48"/>
    <w:qFormat/>
    <w:uiPriority w:val="0"/>
    <w:rPr>
      <w:rFonts w:ascii="宋体" w:hAnsi="宋体"/>
      <w:kern w:val="2"/>
      <w:sz w:val="18"/>
      <w:szCs w:val="18"/>
    </w:rPr>
  </w:style>
  <w:style w:type="paragraph" w:customStyle="1" w:styleId="48">
    <w:name w:val="首示例"/>
    <w:next w:val="24"/>
    <w:link w:val="47"/>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49">
    <w:name w:val="附录公式 Char"/>
    <w:link w:val="50"/>
    <w:qFormat/>
    <w:uiPriority w:val="0"/>
    <w:rPr>
      <w:lang w:val="en-US" w:eastAsia="zh-CN" w:bidi="ar-SA"/>
    </w:rPr>
  </w:style>
  <w:style w:type="paragraph" w:customStyle="1" w:styleId="50">
    <w:name w:val="附录公式"/>
    <w:basedOn w:val="24"/>
    <w:next w:val="24"/>
    <w:link w:val="49"/>
    <w:qFormat/>
    <w:uiPriority w:val="0"/>
  </w:style>
  <w:style w:type="character" w:customStyle="1" w:styleId="51">
    <w:name w:val="发布"/>
    <w:qFormat/>
    <w:uiPriority w:val="0"/>
    <w:rPr>
      <w:rFonts w:ascii="黑体" w:eastAsia="黑体"/>
      <w:spacing w:val="85"/>
      <w:w w:val="100"/>
      <w:position w:val="3"/>
      <w:sz w:val="28"/>
      <w:szCs w:val="28"/>
    </w:rPr>
  </w:style>
  <w:style w:type="paragraph" w:customStyle="1" w:styleId="5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5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4">
    <w:name w:val="其他实施日期"/>
    <w:basedOn w:val="55"/>
    <w:qFormat/>
    <w:uiPriority w:val="0"/>
    <w:pPr>
      <w:framePr w:wrap="around"/>
    </w:pPr>
  </w:style>
  <w:style w:type="paragraph" w:customStyle="1" w:styleId="55">
    <w:name w:val="实施日期"/>
    <w:basedOn w:val="56"/>
    <w:qFormat/>
    <w:uiPriority w:val="0"/>
    <w:pPr>
      <w:framePr w:wrap="around" w:vAnchor="page" w:hAnchor="text"/>
      <w:jc w:val="right"/>
    </w:pPr>
  </w:style>
  <w:style w:type="paragraph" w:customStyle="1" w:styleId="5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57">
    <w:name w:val="附录表标题"/>
    <w:basedOn w:val="1"/>
    <w:next w:val="24"/>
    <w:qFormat/>
    <w:uiPriority w:val="0"/>
    <w:pPr>
      <w:numPr>
        <w:ilvl w:val="1"/>
        <w:numId w:val="3"/>
      </w:numPr>
      <w:tabs>
        <w:tab w:val="left" w:pos="180"/>
      </w:tabs>
      <w:spacing w:before="50" w:beforeLines="50" w:after="50" w:afterLines="50"/>
      <w:ind w:left="0" w:firstLine="0"/>
      <w:jc w:val="center"/>
    </w:pPr>
    <w:rPr>
      <w:rFonts w:ascii="黑体" w:eastAsia="黑体"/>
      <w:szCs w:val="21"/>
    </w:rPr>
  </w:style>
  <w:style w:type="paragraph" w:customStyle="1" w:styleId="58">
    <w:name w:val="附录图标题"/>
    <w:basedOn w:val="1"/>
    <w:next w:val="24"/>
    <w:qFormat/>
    <w:uiPriority w:val="0"/>
    <w:pPr>
      <w:numPr>
        <w:ilvl w:val="1"/>
        <w:numId w:val="4"/>
      </w:numPr>
      <w:tabs>
        <w:tab w:val="left" w:pos="363"/>
      </w:tabs>
      <w:spacing w:before="50" w:beforeLines="50" w:after="50" w:afterLines="50"/>
      <w:ind w:left="0" w:firstLine="0"/>
      <w:jc w:val="center"/>
    </w:pPr>
    <w:rPr>
      <w:rFonts w:ascii="黑体" w:eastAsia="黑体"/>
      <w:szCs w:val="21"/>
    </w:rPr>
  </w:style>
  <w:style w:type="paragraph" w:customStyle="1" w:styleId="59">
    <w:name w:val="四级条标题"/>
    <w:basedOn w:val="60"/>
    <w:next w:val="24"/>
    <w:qFormat/>
    <w:uiPriority w:val="0"/>
    <w:pPr>
      <w:numPr>
        <w:ilvl w:val="4"/>
        <w:numId w:val="5"/>
      </w:numPr>
      <w:outlineLvl w:val="5"/>
    </w:pPr>
  </w:style>
  <w:style w:type="paragraph" w:customStyle="1" w:styleId="60">
    <w:name w:val="三级条标题"/>
    <w:basedOn w:val="61"/>
    <w:next w:val="24"/>
    <w:qFormat/>
    <w:uiPriority w:val="0"/>
    <w:pPr>
      <w:numPr>
        <w:ilvl w:val="0"/>
        <w:numId w:val="0"/>
      </w:numPr>
      <w:outlineLvl w:val="4"/>
    </w:pPr>
  </w:style>
  <w:style w:type="paragraph" w:customStyle="1" w:styleId="61">
    <w:name w:val="二级条标题"/>
    <w:basedOn w:val="62"/>
    <w:next w:val="24"/>
    <w:qFormat/>
    <w:uiPriority w:val="0"/>
    <w:pPr>
      <w:numPr>
        <w:ilvl w:val="2"/>
      </w:numPr>
      <w:spacing w:before="50" w:after="50"/>
      <w:outlineLvl w:val="3"/>
    </w:pPr>
  </w:style>
  <w:style w:type="paragraph" w:customStyle="1" w:styleId="62">
    <w:name w:val="一级条标题"/>
    <w:next w:val="24"/>
    <w:qFormat/>
    <w:uiPriority w:val="0"/>
    <w:pPr>
      <w:numPr>
        <w:ilvl w:val="1"/>
        <w:numId w:val="5"/>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3">
    <w:name w:val="封面标准文稿编辑信息"/>
    <w:basedOn w:val="64"/>
    <w:qFormat/>
    <w:uiPriority w:val="0"/>
    <w:pPr>
      <w:framePr w:wrap="around"/>
      <w:spacing w:before="180" w:line="180" w:lineRule="exact"/>
    </w:pPr>
    <w:rPr>
      <w:sz w:val="21"/>
    </w:rPr>
  </w:style>
  <w:style w:type="paragraph" w:customStyle="1" w:styleId="64">
    <w:name w:val="封面标准文稿类别"/>
    <w:basedOn w:val="65"/>
    <w:qFormat/>
    <w:uiPriority w:val="0"/>
    <w:pPr>
      <w:framePr w:wrap="around"/>
      <w:spacing w:after="160" w:line="240" w:lineRule="auto"/>
    </w:pPr>
    <w:rPr>
      <w:sz w:val="24"/>
    </w:rPr>
  </w:style>
  <w:style w:type="paragraph" w:customStyle="1" w:styleId="65">
    <w:name w:val="封面一致性程度标识"/>
    <w:basedOn w:val="66"/>
    <w:qFormat/>
    <w:uiPriority w:val="0"/>
    <w:pPr>
      <w:framePr w:wrap="around"/>
      <w:spacing w:before="440"/>
    </w:pPr>
    <w:rPr>
      <w:rFonts w:ascii="宋体" w:eastAsia="宋体"/>
    </w:rPr>
  </w:style>
  <w:style w:type="paragraph" w:customStyle="1" w:styleId="66">
    <w:name w:val="封面标准英文名称"/>
    <w:basedOn w:val="67"/>
    <w:uiPriority w:val="0"/>
    <w:pPr>
      <w:framePr w:wrap="around"/>
      <w:spacing w:before="370" w:line="400" w:lineRule="exact"/>
    </w:pPr>
    <w:rPr>
      <w:rFonts w:ascii="Times New Roman"/>
      <w:sz w:val="28"/>
      <w:szCs w:val="28"/>
    </w:rPr>
  </w:style>
  <w:style w:type="paragraph" w:customStyle="1" w:styleId="6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8">
    <w:name w:val="附录章标题"/>
    <w:next w:val="24"/>
    <w:qFormat/>
    <w:uiPriority w:val="0"/>
    <w:pPr>
      <w:numPr>
        <w:ilvl w:val="1"/>
        <w:numId w:val="6"/>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9">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7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72">
    <w:name w:val="其他标准标志"/>
    <w:basedOn w:val="73"/>
    <w:qFormat/>
    <w:uiPriority w:val="0"/>
    <w:pPr>
      <w:framePr w:w="6101" w:wrap="around" w:vAnchor="page" w:hAnchor="page" w:x="4673" w:y="942"/>
    </w:pPr>
    <w:rPr>
      <w:w w:val="130"/>
    </w:rPr>
  </w:style>
  <w:style w:type="paragraph" w:customStyle="1" w:styleId="7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4">
    <w:name w:val="附录二级无"/>
    <w:basedOn w:val="75"/>
    <w:qFormat/>
    <w:uiPriority w:val="0"/>
    <w:pPr>
      <w:tabs>
        <w:tab w:val="left" w:pos="360"/>
      </w:tabs>
      <w:spacing w:before="0" w:beforeLines="0" w:after="0" w:afterLines="0"/>
    </w:pPr>
    <w:rPr>
      <w:rFonts w:ascii="宋体" w:eastAsia="宋体"/>
      <w:szCs w:val="21"/>
    </w:rPr>
  </w:style>
  <w:style w:type="paragraph" w:customStyle="1" w:styleId="75">
    <w:name w:val="附录二级条标题"/>
    <w:basedOn w:val="1"/>
    <w:next w:val="24"/>
    <w:qFormat/>
    <w:uiPriority w:val="0"/>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封面标准文稿类别2"/>
    <w:basedOn w:val="64"/>
    <w:qFormat/>
    <w:uiPriority w:val="0"/>
    <w:pPr>
      <w:framePr w:wrap="around" w:y="4469"/>
    </w:pPr>
  </w:style>
  <w:style w:type="paragraph" w:customStyle="1" w:styleId="78">
    <w:name w:val="标准书眉_偶数页"/>
    <w:basedOn w:val="79"/>
    <w:next w:val="1"/>
    <w:qFormat/>
    <w:uiPriority w:val="0"/>
    <w:pPr>
      <w:tabs>
        <w:tab w:val="center" w:pos="4154"/>
        <w:tab w:val="right" w:pos="8306"/>
      </w:tabs>
      <w:jc w:val="left"/>
    </w:pPr>
  </w:style>
  <w:style w:type="paragraph" w:customStyle="1" w:styleId="79">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0">
    <w:name w:val="示例×："/>
    <w:basedOn w:val="81"/>
    <w:qFormat/>
    <w:uiPriority w:val="0"/>
    <w:pPr>
      <w:numPr>
        <w:numId w:val="7"/>
      </w:numPr>
      <w:spacing w:before="0" w:beforeLines="0" w:after="0" w:afterLines="0"/>
      <w:outlineLvl w:val="9"/>
    </w:pPr>
    <w:rPr>
      <w:rFonts w:ascii="宋体" w:eastAsia="宋体"/>
      <w:sz w:val="18"/>
      <w:szCs w:val="18"/>
    </w:rPr>
  </w:style>
  <w:style w:type="paragraph" w:customStyle="1" w:styleId="81">
    <w:name w:val="章标题"/>
    <w:next w:val="24"/>
    <w:qFormat/>
    <w:uiPriority w:val="0"/>
    <w:pPr>
      <w:numPr>
        <w:ilvl w:val="0"/>
        <w:numId w:val="5"/>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82">
    <w:name w:val="终结线"/>
    <w:basedOn w:val="1"/>
    <w:uiPriority w:val="0"/>
    <w:pPr>
      <w:framePr w:hSpace="181" w:vSpace="181" w:wrap="around" w:vAnchor="text" w:hAnchor="margin" w:xAlign="center" w:y="285"/>
    </w:pPr>
  </w:style>
  <w:style w:type="paragraph" w:customStyle="1" w:styleId="83">
    <w:name w:val="注×：（正文）"/>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84">
    <w:name w:val="参考文献"/>
    <w:basedOn w:val="1"/>
    <w:next w:val="24"/>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6">
    <w:name w:val="示例后文字"/>
    <w:basedOn w:val="24"/>
    <w:next w:val="24"/>
    <w:qFormat/>
    <w:uiPriority w:val="0"/>
    <w:pPr>
      <w:ind w:firstLine="360"/>
    </w:pPr>
    <w:rPr>
      <w:sz w:val="18"/>
    </w:rPr>
  </w:style>
  <w:style w:type="paragraph" w:customStyle="1" w:styleId="87">
    <w:name w:val="附录标题"/>
    <w:basedOn w:val="24"/>
    <w:next w:val="24"/>
    <w:qFormat/>
    <w:uiPriority w:val="0"/>
    <w:pPr>
      <w:ind w:firstLine="0" w:firstLineChars="0"/>
      <w:jc w:val="center"/>
    </w:pPr>
    <w:rPr>
      <w:rFonts w:ascii="黑体" w:eastAsia="黑体"/>
    </w:rPr>
  </w:style>
  <w:style w:type="paragraph" w:customStyle="1" w:styleId="88">
    <w:name w:val="附录五级条标题"/>
    <w:basedOn w:val="89"/>
    <w:next w:val="24"/>
    <w:qFormat/>
    <w:uiPriority w:val="0"/>
    <w:pPr>
      <w:tabs>
        <w:tab w:val="left" w:pos="360"/>
      </w:tabs>
      <w:outlineLvl w:val="6"/>
    </w:pPr>
  </w:style>
  <w:style w:type="paragraph" w:customStyle="1" w:styleId="89">
    <w:name w:val="附录四级条标题"/>
    <w:basedOn w:val="90"/>
    <w:next w:val="24"/>
    <w:qFormat/>
    <w:uiPriority w:val="0"/>
    <w:pPr>
      <w:tabs>
        <w:tab w:val="left" w:pos="360"/>
      </w:tabs>
      <w:outlineLvl w:val="5"/>
    </w:pPr>
  </w:style>
  <w:style w:type="paragraph" w:customStyle="1" w:styleId="90">
    <w:name w:val="附录三级条标题"/>
    <w:basedOn w:val="75"/>
    <w:next w:val="24"/>
    <w:qFormat/>
    <w:uiPriority w:val="0"/>
    <w:pPr>
      <w:outlineLvl w:val="4"/>
    </w:pPr>
  </w:style>
  <w:style w:type="paragraph" w:customStyle="1" w:styleId="9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92">
    <w:name w:val="附录四级无"/>
    <w:basedOn w:val="89"/>
    <w:qFormat/>
    <w:uiPriority w:val="0"/>
    <w:pPr>
      <w:tabs>
        <w:tab w:val="clear" w:pos="360"/>
      </w:tabs>
      <w:spacing w:before="0" w:beforeLines="0" w:after="0" w:afterLines="0"/>
    </w:pPr>
    <w:rPr>
      <w:rFonts w:ascii="宋体" w:eastAsia="宋体"/>
      <w:szCs w:val="21"/>
    </w:rPr>
  </w:style>
  <w:style w:type="paragraph" w:customStyle="1" w:styleId="93">
    <w:name w:val="正文图标题"/>
    <w:next w:val="24"/>
    <w:uiPriority w:val="0"/>
    <w:pPr>
      <w:numPr>
        <w:ilvl w:val="0"/>
        <w:numId w:val="9"/>
      </w:numPr>
      <w:spacing w:before="156" w:beforeLines="50" w:after="156" w:afterLines="50"/>
      <w:jc w:val="center"/>
    </w:pPr>
    <w:rPr>
      <w:rFonts w:ascii="黑体" w:hAnsi="Times New Roman" w:eastAsia="黑体" w:cs="Times New Roman"/>
      <w:sz w:val="21"/>
      <w:lang w:val="en-US" w:eastAsia="zh-CN" w:bidi="ar-SA"/>
    </w:rPr>
  </w:style>
  <w:style w:type="paragraph" w:customStyle="1" w:styleId="94">
    <w:name w:val="条文脚注"/>
    <w:basedOn w:val="25"/>
    <w:qFormat/>
    <w:uiPriority w:val="0"/>
    <w:pPr>
      <w:numPr>
        <w:numId w:val="0"/>
      </w:numPr>
      <w:jc w:val="both"/>
    </w:pPr>
  </w:style>
  <w:style w:type="paragraph" w:customStyle="1" w:styleId="95">
    <w:name w:val="三级无"/>
    <w:basedOn w:val="60"/>
    <w:qFormat/>
    <w:uiPriority w:val="0"/>
    <w:pPr>
      <w:spacing w:before="0" w:beforeLines="0" w:after="0" w:afterLines="0"/>
    </w:pPr>
    <w:rPr>
      <w:rFonts w:ascii="宋体" w:eastAsia="宋体"/>
    </w:rPr>
  </w:style>
  <w:style w:type="paragraph" w:customStyle="1" w:styleId="96">
    <w:name w:val="五级无"/>
    <w:basedOn w:val="97"/>
    <w:qFormat/>
    <w:uiPriority w:val="0"/>
    <w:pPr>
      <w:spacing w:before="0" w:beforeLines="0" w:after="0" w:afterLines="0"/>
    </w:pPr>
    <w:rPr>
      <w:rFonts w:ascii="宋体" w:eastAsia="宋体"/>
    </w:rPr>
  </w:style>
  <w:style w:type="paragraph" w:customStyle="1" w:styleId="97">
    <w:name w:val="五级条标题"/>
    <w:basedOn w:val="59"/>
    <w:next w:val="24"/>
    <w:uiPriority w:val="0"/>
    <w:pPr>
      <w:numPr>
        <w:ilvl w:val="0"/>
        <w:numId w:val="0"/>
      </w:numPr>
      <w:outlineLvl w:val="6"/>
    </w:pPr>
  </w:style>
  <w:style w:type="paragraph" w:customStyle="1" w:styleId="98">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99">
    <w:name w:val="附录三级无"/>
    <w:basedOn w:val="90"/>
    <w:uiPriority w:val="0"/>
    <w:pPr>
      <w:tabs>
        <w:tab w:val="clear" w:pos="360"/>
      </w:tabs>
      <w:spacing w:before="0" w:beforeLines="0" w:after="0" w:afterLines="0"/>
    </w:pPr>
    <w:rPr>
      <w:rFonts w:ascii="宋体" w:eastAsia="宋体"/>
      <w:szCs w:val="21"/>
    </w:rPr>
  </w:style>
  <w:style w:type="paragraph" w:customStyle="1" w:styleId="100">
    <w:name w:val="其他发布日期"/>
    <w:basedOn w:val="56"/>
    <w:qFormat/>
    <w:uiPriority w:val="0"/>
    <w:pPr>
      <w:framePr w:wrap="around" w:vAnchor="page" w:hAnchor="text" w:x="1419"/>
    </w:pPr>
  </w:style>
  <w:style w:type="paragraph" w:customStyle="1" w:styleId="101">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03">
    <w:name w:val="封面正文"/>
    <w:qFormat/>
    <w:uiPriority w:val="0"/>
    <w:pPr>
      <w:jc w:val="both"/>
    </w:pPr>
    <w:rPr>
      <w:rFonts w:ascii="Times New Roman" w:hAnsi="Times New Roman" w:eastAsia="宋体" w:cs="Times New Roman"/>
      <w:lang w:val="en-US" w:eastAsia="zh-CN" w:bidi="ar-SA"/>
    </w:rPr>
  </w:style>
  <w:style w:type="paragraph" w:customStyle="1" w:styleId="104">
    <w:name w:val="附录一级条标题"/>
    <w:basedOn w:val="68"/>
    <w:next w:val="24"/>
    <w:qFormat/>
    <w:uiPriority w:val="0"/>
    <w:pPr>
      <w:numPr>
        <w:ilvl w:val="2"/>
      </w:numPr>
      <w:autoSpaceDN w:val="0"/>
      <w:spacing w:before="50" w:beforeLines="50" w:after="50" w:afterLines="50"/>
      <w:outlineLvl w:val="2"/>
    </w:pPr>
  </w:style>
  <w:style w:type="paragraph" w:customStyle="1" w:styleId="105">
    <w:name w:val="列项——（一级）"/>
    <w:qFormat/>
    <w:uiPriority w:val="0"/>
    <w:pPr>
      <w:widowControl w:val="0"/>
      <w:numPr>
        <w:ilvl w:val="0"/>
        <w:numId w:val="10"/>
      </w:numPr>
      <w:jc w:val="both"/>
    </w:pPr>
    <w:rPr>
      <w:rFonts w:ascii="宋体" w:hAnsi="Times New Roman" w:eastAsia="宋体" w:cs="Times New Roman"/>
      <w:sz w:val="21"/>
      <w:lang w:val="en-US" w:eastAsia="zh-CN" w:bidi="ar-SA"/>
    </w:rPr>
  </w:style>
  <w:style w:type="paragraph" w:customStyle="1" w:styleId="106">
    <w:name w:val="数字编号列项（二级）"/>
    <w:qFormat/>
    <w:uiPriority w:val="0"/>
    <w:pPr>
      <w:numPr>
        <w:ilvl w:val="1"/>
        <w:numId w:val="11"/>
      </w:numPr>
      <w:jc w:val="both"/>
    </w:pPr>
    <w:rPr>
      <w:rFonts w:ascii="宋体" w:hAnsi="Times New Roman" w:eastAsia="宋体" w:cs="Times New Roman"/>
      <w:sz w:val="21"/>
      <w:lang w:val="en-US" w:eastAsia="zh-CN" w:bidi="ar-SA"/>
    </w:rPr>
  </w:style>
  <w:style w:type="paragraph" w:customStyle="1" w:styleId="107">
    <w:name w:val="一级无"/>
    <w:basedOn w:val="62"/>
    <w:qFormat/>
    <w:uiPriority w:val="0"/>
    <w:pPr>
      <w:spacing w:before="0" w:beforeLines="0" w:after="0" w:afterLines="0"/>
    </w:pPr>
    <w:rPr>
      <w:rFonts w:ascii="宋体" w:eastAsia="宋体"/>
    </w:rPr>
  </w:style>
  <w:style w:type="paragraph" w:customStyle="1" w:styleId="108">
    <w:name w:val="四级无"/>
    <w:basedOn w:val="59"/>
    <w:qFormat/>
    <w:uiPriority w:val="0"/>
    <w:pPr>
      <w:spacing w:before="0" w:beforeLines="0" w:after="0" w:afterLines="0"/>
    </w:pPr>
    <w:rPr>
      <w:rFonts w:ascii="宋体" w:eastAsia="宋体"/>
    </w:rPr>
  </w:style>
  <w:style w:type="paragraph" w:customStyle="1" w:styleId="109">
    <w:name w:val="二级无"/>
    <w:basedOn w:val="61"/>
    <w:qFormat/>
    <w:uiPriority w:val="0"/>
    <w:pPr>
      <w:spacing w:before="0" w:beforeLines="0" w:after="0" w:afterLines="0"/>
    </w:pPr>
    <w:rPr>
      <w:rFonts w:ascii="宋体" w:eastAsia="宋体"/>
    </w:rPr>
  </w:style>
  <w:style w:type="paragraph" w:customStyle="1" w:styleId="110">
    <w:name w:val="编号列项（三级）"/>
    <w:qFormat/>
    <w:uiPriority w:val="0"/>
    <w:rPr>
      <w:rFonts w:ascii="宋体" w:hAnsi="Times New Roman" w:eastAsia="宋体" w:cs="Times New Roman"/>
      <w:sz w:val="21"/>
      <w:lang w:val="en-US" w:eastAsia="zh-CN" w:bidi="ar-SA"/>
    </w:rPr>
  </w:style>
  <w:style w:type="paragraph" w:customStyle="1" w:styleId="111">
    <w:name w:val="正文公式编号制表符"/>
    <w:basedOn w:val="24"/>
    <w:next w:val="24"/>
    <w:qFormat/>
    <w:uiPriority w:val="0"/>
    <w:pPr>
      <w:ind w:firstLine="0" w:firstLineChars="0"/>
    </w:pPr>
  </w:style>
  <w:style w:type="paragraph" w:customStyle="1" w:styleId="112">
    <w:name w:val="封面一致性程度标识2"/>
    <w:basedOn w:val="65"/>
    <w:qFormat/>
    <w:uiPriority w:val="0"/>
    <w:pPr>
      <w:framePr w:wrap="around" w:y="4469"/>
    </w:pPr>
  </w:style>
  <w:style w:type="paragraph" w:customStyle="1" w:styleId="113">
    <w:name w:val="其他发布部门"/>
    <w:basedOn w:val="114"/>
    <w:qFormat/>
    <w:uiPriority w:val="0"/>
    <w:pPr>
      <w:framePr w:wrap="around" w:y="15310"/>
      <w:spacing w:line="0" w:lineRule="atLeast"/>
    </w:pPr>
    <w:rPr>
      <w:rFonts w:ascii="黑体" w:eastAsia="黑体"/>
      <w:b w:val="0"/>
    </w:rPr>
  </w:style>
  <w:style w:type="paragraph" w:customStyle="1" w:styleId="114">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1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16">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17">
    <w:name w:val="正文表标题"/>
    <w:next w:val="24"/>
    <w:uiPriority w:val="0"/>
    <w:pPr>
      <w:numPr>
        <w:ilvl w:val="0"/>
        <w:numId w:val="12"/>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18">
    <w:name w:val="封面标准文稿编辑信息2"/>
    <w:basedOn w:val="63"/>
    <w:qFormat/>
    <w:uiPriority w:val="0"/>
    <w:pPr>
      <w:framePr w:wrap="around" w:y="4469"/>
    </w:pPr>
  </w:style>
  <w:style w:type="paragraph" w:customStyle="1" w:styleId="119">
    <w:name w:val="注×："/>
    <w:uiPriority w:val="0"/>
    <w:pPr>
      <w:widowControl w:val="0"/>
      <w:numPr>
        <w:ilvl w:val="0"/>
        <w:numId w:val="13"/>
      </w:numPr>
      <w:autoSpaceDE w:val="0"/>
      <w:autoSpaceDN w:val="0"/>
      <w:jc w:val="both"/>
    </w:pPr>
    <w:rPr>
      <w:rFonts w:ascii="宋体" w:hAnsi="Times New Roman" w:eastAsia="宋体" w:cs="Times New Roman"/>
      <w:sz w:val="18"/>
      <w:szCs w:val="18"/>
      <w:lang w:val="en-US" w:eastAsia="zh-CN" w:bidi="ar-SA"/>
    </w:rPr>
  </w:style>
  <w:style w:type="paragraph" w:customStyle="1" w:styleId="120">
    <w:name w:val="附录表标号"/>
    <w:basedOn w:val="1"/>
    <w:next w:val="24"/>
    <w:qFormat/>
    <w:uiPriority w:val="0"/>
    <w:pPr>
      <w:numPr>
        <w:ilvl w:val="0"/>
        <w:numId w:val="3"/>
      </w:numPr>
      <w:tabs>
        <w:tab w:val="clear" w:pos="0"/>
      </w:tabs>
      <w:spacing w:line="14" w:lineRule="exact"/>
      <w:ind w:left="811" w:hanging="448"/>
      <w:jc w:val="center"/>
      <w:outlineLvl w:val="0"/>
    </w:pPr>
    <w:rPr>
      <w:color w:val="FFFFFF"/>
    </w:rPr>
  </w:style>
  <w:style w:type="paragraph" w:customStyle="1" w:styleId="121">
    <w:name w:val="封面标准名称2"/>
    <w:basedOn w:val="67"/>
    <w:uiPriority w:val="0"/>
    <w:pPr>
      <w:framePr w:wrap="around" w:y="4469"/>
      <w:spacing w:before="630" w:beforeLines="630"/>
    </w:pPr>
  </w:style>
  <w:style w:type="paragraph" w:customStyle="1" w:styleId="122">
    <w:name w:val="附录五级无"/>
    <w:basedOn w:val="88"/>
    <w:qFormat/>
    <w:uiPriority w:val="0"/>
    <w:pPr>
      <w:tabs>
        <w:tab w:val="clear" w:pos="360"/>
      </w:tabs>
      <w:spacing w:before="0" w:beforeLines="0" w:after="0" w:afterLines="0"/>
    </w:pPr>
    <w:rPr>
      <w:rFonts w:ascii="宋体" w:eastAsia="宋体"/>
      <w:szCs w:val="21"/>
    </w:rPr>
  </w:style>
  <w:style w:type="paragraph" w:customStyle="1" w:styleId="123">
    <w:name w:val="列项●（二级）"/>
    <w:qFormat/>
    <w:uiPriority w:val="0"/>
    <w:pPr>
      <w:numPr>
        <w:ilvl w:val="1"/>
        <w:numId w:val="10"/>
      </w:numPr>
      <w:tabs>
        <w:tab w:val="left" w:pos="840"/>
      </w:tabs>
      <w:jc w:val="both"/>
    </w:pPr>
    <w:rPr>
      <w:rFonts w:ascii="宋体" w:hAnsi="Times New Roman" w:eastAsia="宋体" w:cs="Times New Roman"/>
      <w:sz w:val="21"/>
      <w:lang w:val="en-US" w:eastAsia="zh-CN" w:bidi="ar-SA"/>
    </w:rPr>
  </w:style>
  <w:style w:type="paragraph" w:customStyle="1" w:styleId="124">
    <w:name w:val="附录字母编号列项（一级）"/>
    <w:qFormat/>
    <w:uiPriority w:val="0"/>
    <w:pPr>
      <w:numPr>
        <w:ilvl w:val="0"/>
        <w:numId w:val="14"/>
      </w:numPr>
    </w:pPr>
    <w:rPr>
      <w:rFonts w:ascii="宋体" w:hAnsi="Times New Roman" w:eastAsia="宋体" w:cs="Times New Roman"/>
      <w:sz w:val="21"/>
      <w:lang w:val="en-US" w:eastAsia="zh-CN" w:bidi="ar-SA"/>
    </w:rPr>
  </w:style>
  <w:style w:type="paragraph" w:customStyle="1" w:styleId="125">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6">
    <w:name w:val="附录一级无"/>
    <w:basedOn w:val="104"/>
    <w:qFormat/>
    <w:uiPriority w:val="0"/>
    <w:pPr>
      <w:tabs>
        <w:tab w:val="clear" w:pos="360"/>
      </w:tabs>
      <w:spacing w:before="0" w:beforeLines="0" w:after="0" w:afterLines="0"/>
    </w:pPr>
    <w:rPr>
      <w:rFonts w:ascii="宋体" w:eastAsia="宋体"/>
      <w:szCs w:val="21"/>
    </w:rPr>
  </w:style>
  <w:style w:type="paragraph" w:customStyle="1" w:styleId="127">
    <w:name w:val="图标脚注说明"/>
    <w:basedOn w:val="24"/>
    <w:qFormat/>
    <w:uiPriority w:val="0"/>
    <w:pPr>
      <w:ind w:left="840" w:hanging="420" w:firstLineChars="0"/>
    </w:pPr>
    <w:rPr>
      <w:sz w:val="18"/>
      <w:szCs w:val="18"/>
    </w:rPr>
  </w:style>
  <w:style w:type="paragraph" w:customStyle="1" w:styleId="128">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9">
    <w:name w:val="注：（正文）"/>
    <w:basedOn w:val="130"/>
    <w:next w:val="24"/>
    <w:qFormat/>
    <w:uiPriority w:val="0"/>
    <w:pPr>
      <w:numPr>
        <w:ilvl w:val="0"/>
        <w:numId w:val="15"/>
      </w:numPr>
    </w:pPr>
  </w:style>
  <w:style w:type="paragraph" w:customStyle="1" w:styleId="130">
    <w:name w:val="注："/>
    <w:next w:val="24"/>
    <w:qFormat/>
    <w:uiPriority w:val="0"/>
    <w:pPr>
      <w:widowControl w:val="0"/>
      <w:numPr>
        <w:ilvl w:val="0"/>
        <w:numId w:val="16"/>
      </w:numPr>
      <w:autoSpaceDE w:val="0"/>
      <w:autoSpaceDN w:val="0"/>
      <w:jc w:val="both"/>
    </w:pPr>
    <w:rPr>
      <w:rFonts w:ascii="宋体" w:hAnsi="Times New Roman" w:eastAsia="宋体" w:cs="Times New Roman"/>
      <w:sz w:val="18"/>
      <w:szCs w:val="18"/>
      <w:lang w:val="en-US" w:eastAsia="zh-CN" w:bidi="ar-SA"/>
    </w:rPr>
  </w:style>
  <w:style w:type="paragraph" w:customStyle="1" w:styleId="131">
    <w:name w:val="字母编号列项（一级）"/>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13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3">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34">
    <w:name w:val="示例"/>
    <w:next w:val="71"/>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1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36">
    <w:name w:val="图表脚注说明"/>
    <w:basedOn w:val="1"/>
    <w:qFormat/>
    <w:uiPriority w:val="0"/>
    <w:pPr>
      <w:numPr>
        <w:ilvl w:val="0"/>
        <w:numId w:val="18"/>
      </w:numPr>
    </w:pPr>
    <w:rPr>
      <w:rFonts w:ascii="宋体"/>
      <w:sz w:val="18"/>
      <w:szCs w:val="18"/>
    </w:rPr>
  </w:style>
  <w:style w:type="paragraph" w:customStyle="1" w:styleId="137">
    <w:name w:val="附录标识"/>
    <w:basedOn w:val="1"/>
    <w:next w:val="24"/>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38">
    <w:name w:val="封面标准英文名称2"/>
    <w:basedOn w:val="66"/>
    <w:qFormat/>
    <w:uiPriority w:val="0"/>
    <w:pPr>
      <w:framePr w:wrap="around" w:y="4469"/>
    </w:pPr>
  </w:style>
  <w:style w:type="paragraph" w:customStyle="1" w:styleId="13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40">
    <w:name w:val="列项◆（三级）"/>
    <w:basedOn w:val="1"/>
    <w:qFormat/>
    <w:uiPriority w:val="0"/>
    <w:pPr>
      <w:numPr>
        <w:ilvl w:val="2"/>
        <w:numId w:val="10"/>
      </w:numPr>
    </w:pPr>
    <w:rPr>
      <w:rFonts w:ascii="宋体"/>
      <w:szCs w:val="21"/>
    </w:rPr>
  </w:style>
  <w:style w:type="paragraph" w:customStyle="1" w:styleId="141">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42">
    <w:name w:val="正文文本 Char"/>
    <w:link w:val="10"/>
    <w:qFormat/>
    <w:uiPriority w:val="1"/>
    <w:rPr>
      <w:rFonts w:ascii="宋体" w:hAnsi="宋体" w:cs="宋体"/>
      <w:sz w:val="21"/>
      <w:szCs w:val="21"/>
      <w:lang w:eastAsia="en-US"/>
    </w:rPr>
  </w:style>
  <w:style w:type="character" w:customStyle="1" w:styleId="143">
    <w:name w:val="标题 1 Char"/>
    <w:link w:val="2"/>
    <w:qFormat/>
    <w:uiPriority w:val="0"/>
    <w:rPr>
      <w:b/>
      <w:bCs/>
      <w:kern w:val="44"/>
      <w:sz w:val="44"/>
      <w:szCs w:val="44"/>
    </w:rPr>
  </w:style>
  <w:style w:type="paragraph" w:customStyle="1" w:styleId="144">
    <w:name w:val="TOC 标题1"/>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png"/><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47D6E2-081E-4724-AC21-CBE6ADDBCD2E}">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17</Pages>
  <Words>7710</Words>
  <Characters>9523</Characters>
  <Lines>391</Lines>
  <Paragraphs>374</Paragraphs>
  <TotalTime>0</TotalTime>
  <ScaleCrop>false</ScaleCrop>
  <LinksUpToDate>false</LinksUpToDate>
  <CharactersWithSpaces>10191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2025-04-11T07:07:00Z</dcterms:created>
  <dc:creator>CNIS</dc:creator>
  <cp:lastModifiedBy>周洁蕙</cp:lastModifiedBy>
  <dcterms:modified xsi:type="dcterms:W3CDTF">2025-04-27T08:32:36Z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EA9E24E9CA844DE584063879DBE51AB9_13</vt:lpwstr>
  </property>
  <property fmtid="{D5CDD505-2E9C-101B-9397-08002B2CF9AE}" pid="4" name="KSOTemplateDocerSaveRecord">
    <vt:lpwstr>eyJoZGlkIjoiZTRiMDljYjRmYjQ5NWMzOWU4NjUwMjk2YjUzOWE2N2IiLCJ1c2VySWQiOiIyNDgyNDcxNDQifQ==</vt:lpwstr>
  </property>
</Properties>
</file>